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CC" w:rsidRDefault="007B75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-342265</wp:posOffset>
            </wp:positionH>
            <wp:positionV relativeFrom="paragraph">
              <wp:posOffset>-437515</wp:posOffset>
            </wp:positionV>
            <wp:extent cx="104775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DATE-GD-Logo-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933450</wp:posOffset>
                </wp:positionH>
                <wp:positionV relativeFrom="paragraph">
                  <wp:posOffset>-228600</wp:posOffset>
                </wp:positionV>
                <wp:extent cx="5324475" cy="704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4F" w:rsidRPr="00CB3DEC" w:rsidRDefault="0044564F">
                            <w:pPr>
                              <w:rPr>
                                <w:rFonts w:ascii="ITC Stone Sans Semibold" w:hAnsi="ITC Stone Sans Semibold"/>
                                <w:color w:val="00594F"/>
                                <w:sz w:val="72"/>
                                <w:szCs w:val="52"/>
                              </w:rPr>
                            </w:pPr>
                            <w:r w:rsidRPr="00CB3DEC">
                              <w:rPr>
                                <w:rFonts w:ascii="ITC Stone Sans Semibold" w:hAnsi="ITC Stone Sans Semibold"/>
                                <w:color w:val="00594F"/>
                                <w:sz w:val="72"/>
                                <w:szCs w:val="52"/>
                              </w:rPr>
                              <w:t>Information for Deans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-18pt;width:419.2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" filled="f" stroked="f">
                <v:textbox>
                  <w:txbxContent>
                    <w:p w:rsidR="0044564F" w:rsidRPr="00CB3DEC" w:rsidRDefault="0044564F">
                      <w:pPr>
                        <w:rPr>
                          <w:rFonts w:ascii="ITC Stone Sans Semibold" w:hAnsi="ITC Stone Sans Semibold"/>
                          <w:color w:val="00594F"/>
                          <w:sz w:val="72"/>
                          <w:szCs w:val="52"/>
                        </w:rPr>
                      </w:pPr>
                      <w:r w:rsidRPr="00CB3DEC">
                        <w:rPr>
                          <w:rFonts w:ascii="ITC Stone Sans Semibold" w:hAnsi="ITC Stone Sans Semibold"/>
                          <w:color w:val="00594F"/>
                          <w:sz w:val="72"/>
                          <w:szCs w:val="52"/>
                        </w:rPr>
                        <w:t>Information for Deans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5CC" w:rsidRDefault="00CB3DE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76200</wp:posOffset>
                </wp:positionV>
                <wp:extent cx="47244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8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2D355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4pt,6pt" to="45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" strokecolor="#ffc844" strokeweight="1.5pt">
                <v:stroke joinstyle="miter"/>
                <w10:wrap anchorx="margin"/>
              </v:line>
            </w:pict>
          </mc:Fallback>
        </mc:AlternateContent>
      </w:r>
    </w:p>
    <w:p w:rsidR="00F545CC" w:rsidRDefault="00F545CC"/>
    <w:p w:rsidR="00501209" w:rsidRDefault="00E12CD4">
      <w:pPr>
        <w:rPr>
          <w:sz w:val="8"/>
          <w:szCs w:val="28"/>
        </w:rPr>
      </w:pPr>
      <w:r w:rsidRPr="00775534">
        <w:rPr>
          <w:sz w:val="28"/>
          <w:szCs w:val="28"/>
        </w:rPr>
        <w:t>Thank you for your partnership with Giving Day! The intent of this document is to provide</w:t>
      </w:r>
      <w:r w:rsidR="00775534" w:rsidRPr="00775534">
        <w:rPr>
          <w:sz w:val="28"/>
          <w:szCs w:val="28"/>
        </w:rPr>
        <w:t xml:space="preserve"> a brief overview of</w:t>
      </w:r>
      <w:r w:rsidR="007B7506" w:rsidRPr="00775534">
        <w:rPr>
          <w:sz w:val="28"/>
          <w:szCs w:val="28"/>
        </w:rPr>
        <w:t xml:space="preserve"> key </w:t>
      </w:r>
      <w:r w:rsidR="00775534" w:rsidRPr="00775534">
        <w:rPr>
          <w:sz w:val="28"/>
          <w:szCs w:val="28"/>
        </w:rPr>
        <w:t xml:space="preserve">dates and activities, </w:t>
      </w:r>
      <w:r w:rsidR="002E7C4D">
        <w:rPr>
          <w:sz w:val="28"/>
          <w:szCs w:val="28"/>
        </w:rPr>
        <w:t xml:space="preserve">available </w:t>
      </w:r>
      <w:r w:rsidR="00775534" w:rsidRPr="00775534">
        <w:rPr>
          <w:sz w:val="28"/>
          <w:szCs w:val="28"/>
        </w:rPr>
        <w:t xml:space="preserve">resources and </w:t>
      </w:r>
      <w:r w:rsidR="002E7C4D">
        <w:rPr>
          <w:sz w:val="28"/>
          <w:szCs w:val="28"/>
        </w:rPr>
        <w:t>how you can personally participate between now and September 1</w:t>
      </w:r>
      <w:r w:rsidR="009641B6">
        <w:rPr>
          <w:sz w:val="28"/>
          <w:szCs w:val="28"/>
        </w:rPr>
        <w:t>7</w:t>
      </w:r>
      <w:r w:rsidR="002E7C4D">
        <w:rPr>
          <w:sz w:val="28"/>
          <w:szCs w:val="28"/>
        </w:rPr>
        <w:t xml:space="preserve">. </w:t>
      </w:r>
      <w:r w:rsidR="007B7506" w:rsidRPr="00775534">
        <w:rPr>
          <w:sz w:val="28"/>
          <w:szCs w:val="28"/>
        </w:rPr>
        <w:t xml:space="preserve">    </w:t>
      </w:r>
      <w:r w:rsidRPr="00775534">
        <w:rPr>
          <w:sz w:val="28"/>
          <w:szCs w:val="28"/>
        </w:rPr>
        <w:t xml:space="preserve">  </w:t>
      </w:r>
      <w:r w:rsidRPr="00775534">
        <w:rPr>
          <w:sz w:val="28"/>
          <w:szCs w:val="28"/>
        </w:rPr>
        <w:br/>
      </w:r>
    </w:p>
    <w:p w:rsidR="006A12E5" w:rsidRPr="00775534" w:rsidRDefault="006A12E5">
      <w:pPr>
        <w:rPr>
          <w:sz w:val="8"/>
          <w:szCs w:val="28"/>
        </w:rPr>
      </w:pPr>
    </w:p>
    <w:p w:rsidR="00D771AC" w:rsidRPr="00CB3DEC" w:rsidRDefault="00D771AC" w:rsidP="00D771AC">
      <w:pPr>
        <w:rPr>
          <w:b/>
          <w:color w:val="00594F"/>
          <w:sz w:val="32"/>
        </w:rPr>
      </w:pPr>
      <w:r>
        <w:rPr>
          <w:b/>
          <w:color w:val="00594F"/>
          <w:sz w:val="32"/>
        </w:rPr>
        <w:t xml:space="preserve">Importance of Giving Day </w:t>
      </w:r>
    </w:p>
    <w:p w:rsidR="007B7506" w:rsidRPr="007D5A7F" w:rsidRDefault="00D771AC" w:rsidP="00E41176">
      <w:pPr>
        <w:spacing w:line="276" w:lineRule="auto"/>
        <w:rPr>
          <w:sz w:val="24"/>
          <w:szCs w:val="24"/>
        </w:rPr>
      </w:pPr>
      <w:r>
        <w:t xml:space="preserve">On September 17, schools and colleges will participate in our </w:t>
      </w:r>
      <w:proofErr w:type="gramStart"/>
      <w:r>
        <w:t>4</w:t>
      </w:r>
      <w:r w:rsidRPr="00D771AC">
        <w:rPr>
          <w:vertAlign w:val="superscript"/>
        </w:rPr>
        <w:t>th</w:t>
      </w:r>
      <w:proofErr w:type="gramEnd"/>
      <w:r>
        <w:t xml:space="preserve"> annual 24-hour fundraising campaign. </w:t>
      </w:r>
      <w:r w:rsidR="00E41176">
        <w:t xml:space="preserve">The purpose of the event is </w:t>
      </w:r>
      <w:r>
        <w:t xml:space="preserve">to increase the visibility of Wayne State, acquire and renew donors and strengthen the culture of philanthropy across campus and alumni communities. Last year we raised $620,000 in cash gifts and pledges from almost 1,000 donors.  </w:t>
      </w:r>
      <w:r w:rsidR="007D5A7F">
        <w:rPr>
          <w:sz w:val="24"/>
          <w:szCs w:val="24"/>
        </w:rPr>
        <w:t xml:space="preserve"> </w:t>
      </w:r>
    </w:p>
    <w:p w:rsidR="00E41176" w:rsidRPr="00E41176" w:rsidRDefault="00E41176">
      <w:r w:rsidRPr="00E41176">
        <w:t xml:space="preserve">The event </w:t>
      </w:r>
      <w:proofErr w:type="gramStart"/>
      <w:r w:rsidRPr="00E41176">
        <w:t>is typically held</w:t>
      </w:r>
      <w:proofErr w:type="gramEnd"/>
      <w:r w:rsidRPr="00E41176">
        <w:t xml:space="preserve"> in April each</w:t>
      </w:r>
      <w:r w:rsidR="007A78EF">
        <w:t xml:space="preserve"> year, but due to COVID-19, </w:t>
      </w:r>
      <w:r>
        <w:t>it</w:t>
      </w:r>
      <w:r w:rsidRPr="00E41176">
        <w:t xml:space="preserve"> </w:t>
      </w:r>
      <w:r w:rsidR="004D0F8A">
        <w:t>has been</w:t>
      </w:r>
      <w:r w:rsidRPr="00E41176">
        <w:t xml:space="preserve"> postponed to September. </w:t>
      </w:r>
    </w:p>
    <w:p w:rsidR="00E41176" w:rsidRPr="00E41176" w:rsidRDefault="00E41176">
      <w:pPr>
        <w:rPr>
          <w:b/>
          <w:color w:val="00594F"/>
          <w:sz w:val="18"/>
        </w:rPr>
      </w:pPr>
    </w:p>
    <w:p w:rsidR="00501209" w:rsidRDefault="00501209">
      <w:pPr>
        <w:rPr>
          <w:b/>
          <w:color w:val="00594F"/>
          <w:sz w:val="32"/>
        </w:rPr>
      </w:pPr>
      <w:r w:rsidRPr="00CB3DEC">
        <w:rPr>
          <w:b/>
          <w:color w:val="00594F"/>
          <w:sz w:val="32"/>
        </w:rPr>
        <w:t>Overview of Activities</w:t>
      </w:r>
    </w:p>
    <w:p w:rsidR="006A12E5" w:rsidRDefault="006A12E5">
      <w:pPr>
        <w:rPr>
          <w:b/>
          <w:color w:val="00594F"/>
          <w:sz w:val="32"/>
        </w:rPr>
      </w:pPr>
      <w:r>
        <w:t xml:space="preserve">The activities below </w:t>
      </w:r>
      <w:proofErr w:type="gramStart"/>
      <w:r>
        <w:t>are primarily managed and executed by the Office of Annual Giving</w:t>
      </w:r>
      <w:proofErr w:type="gramEnd"/>
      <w:r>
        <w:t>.</w:t>
      </w:r>
    </w:p>
    <w:p w:rsidR="00E41176" w:rsidRPr="00E41176" w:rsidRDefault="00CC7E59">
      <w:pPr>
        <w:rPr>
          <w:b/>
          <w:color w:val="00594F"/>
          <w:sz w:val="2"/>
        </w:rPr>
      </w:pPr>
      <w:r w:rsidRPr="00AC57FA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5624623</wp:posOffset>
                </wp:positionH>
                <wp:positionV relativeFrom="page">
                  <wp:posOffset>9399181</wp:posOffset>
                </wp:positionV>
                <wp:extent cx="866775" cy="3143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FA" w:rsidRDefault="00AC57FA"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2.9pt;margin-top:740.1pt;width:68.2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" stroked="f">
                <v:textbox>
                  <w:txbxContent>
                    <w:p w:rsidR="00AC57FA" w:rsidRDefault="00AC57FA">
                      <w:r>
                        <w:t>Page 1 of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12E5">
        <w:rPr>
          <w:b/>
          <w:noProof/>
          <w:color w:val="00594F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2382520</wp:posOffset>
                </wp:positionV>
                <wp:extent cx="304800" cy="276225"/>
                <wp:effectExtent l="0" t="0" r="0" b="95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star5">
                          <a:avLst/>
                        </a:prstGeom>
                        <a:solidFill>
                          <a:srgbClr val="FFC8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BA9E" id="5-Point Star 5" o:spid="_x0000_s1026" style="position:absolute;margin-left:-14.25pt;margin-top:187.6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" path="m,105508r116424,1l152400,r35976,105509l304800,105508r-94189,65208l246588,276224,152400,211016,58212,276224,94189,170716,,105508xe" fillcolor="#ffc844" stroked="f" strokeweight="1pt">
                <v:stroke joinstyle="miter"/>
                <v:path arrowok="t" o:connecttype="custom" o:connectlocs="0,105508;116424,105509;152400,0;188376,105509;304800,105508;210611,170716;246588,276224;152400,211016;58212,276224;94189,170716;0,105508" o:connectangles="0,0,0,0,0,0,0,0,0,0,0"/>
              </v:shape>
            </w:pict>
          </mc:Fallback>
        </mc:AlternateContent>
      </w:r>
    </w:p>
    <w:tbl>
      <w:tblPr>
        <w:tblStyle w:val="TableGrid"/>
        <w:tblW w:w="939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144"/>
      </w:tblGrid>
      <w:tr w:rsidR="00892C94" w:rsidTr="00E41176">
        <w:trPr>
          <w:trHeight w:val="461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Late July</w:t>
            </w:r>
          </w:p>
        </w:tc>
        <w:tc>
          <w:tcPr>
            <w:tcW w:w="7144" w:type="dxa"/>
            <w:vAlign w:val="center"/>
          </w:tcPr>
          <w:p w:rsidR="00892C94" w:rsidRDefault="00892C94" w:rsidP="00705F5E">
            <w:pPr>
              <w:rPr>
                <w:bCs/>
              </w:rPr>
            </w:pPr>
            <w:r>
              <w:rPr>
                <w:bCs/>
              </w:rPr>
              <w:t>Save the Date postcards</w:t>
            </w:r>
          </w:p>
        </w:tc>
      </w:tr>
      <w:tr w:rsidR="00892C94" w:rsidTr="00E41176">
        <w:trPr>
          <w:trHeight w:val="435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Month of August</w:t>
            </w:r>
          </w:p>
        </w:tc>
        <w:tc>
          <w:tcPr>
            <w:tcW w:w="7144" w:type="dxa"/>
            <w:vAlign w:val="center"/>
          </w:tcPr>
          <w:p w:rsidR="00892C94" w:rsidRDefault="00892C94" w:rsidP="00E41176">
            <w:pPr>
              <w:rPr>
                <w:bCs/>
              </w:rPr>
            </w:pPr>
            <w:r>
              <w:rPr>
                <w:bCs/>
              </w:rPr>
              <w:t xml:space="preserve">Alumni e-news </w:t>
            </w:r>
            <w:r w:rsidR="00605114">
              <w:rPr>
                <w:bCs/>
              </w:rPr>
              <w:t xml:space="preserve">feature </w:t>
            </w:r>
            <w:r>
              <w:rPr>
                <w:bCs/>
              </w:rPr>
              <w:t xml:space="preserve">and Giving Day image added to </w:t>
            </w:r>
            <w:r w:rsidR="00E41176">
              <w:rPr>
                <w:bCs/>
              </w:rPr>
              <w:t>school/college</w:t>
            </w:r>
            <w:r>
              <w:rPr>
                <w:bCs/>
              </w:rPr>
              <w:t xml:space="preserve"> emails</w:t>
            </w:r>
          </w:p>
        </w:tc>
      </w:tr>
      <w:tr w:rsidR="00892C94" w:rsidTr="00E41176">
        <w:trPr>
          <w:trHeight w:val="461"/>
        </w:trPr>
        <w:tc>
          <w:tcPr>
            <w:tcW w:w="2250" w:type="dxa"/>
            <w:vAlign w:val="center"/>
          </w:tcPr>
          <w:p w:rsidR="00892C94" w:rsidRDefault="00892C94" w:rsidP="0060511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 Days </w:t>
            </w:r>
            <w:r w:rsidR="00605114">
              <w:rPr>
                <w:bCs/>
              </w:rPr>
              <w:t>Prior</w:t>
            </w:r>
          </w:p>
        </w:tc>
        <w:tc>
          <w:tcPr>
            <w:tcW w:w="7144" w:type="dxa"/>
            <w:vAlign w:val="center"/>
          </w:tcPr>
          <w:p w:rsidR="00892C94" w:rsidRDefault="00892C94" w:rsidP="006A12E5">
            <w:pPr>
              <w:rPr>
                <w:bCs/>
              </w:rPr>
            </w:pPr>
            <w:r>
              <w:rPr>
                <w:bCs/>
              </w:rPr>
              <w:t>Announcement emails</w:t>
            </w:r>
            <w:r w:rsidR="00E41176">
              <w:rPr>
                <w:bCs/>
              </w:rPr>
              <w:t xml:space="preserve"> </w:t>
            </w:r>
          </w:p>
        </w:tc>
      </w:tr>
      <w:tr w:rsidR="00892C94" w:rsidTr="00E41176">
        <w:trPr>
          <w:trHeight w:val="435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3 Weeks Prior</w:t>
            </w:r>
          </w:p>
        </w:tc>
        <w:tc>
          <w:tcPr>
            <w:tcW w:w="7144" w:type="dxa"/>
            <w:vAlign w:val="center"/>
          </w:tcPr>
          <w:p w:rsidR="00892C94" w:rsidRDefault="00892C94" w:rsidP="00705F5E">
            <w:pPr>
              <w:rPr>
                <w:bCs/>
              </w:rPr>
            </w:pPr>
            <w:r>
              <w:rPr>
                <w:bCs/>
              </w:rPr>
              <w:t>Direct mail to specific populations</w:t>
            </w:r>
          </w:p>
        </w:tc>
      </w:tr>
      <w:tr w:rsidR="00892C94" w:rsidTr="00E41176">
        <w:trPr>
          <w:trHeight w:val="461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2 Weeks Prior</w:t>
            </w:r>
          </w:p>
        </w:tc>
        <w:tc>
          <w:tcPr>
            <w:tcW w:w="7144" w:type="dxa"/>
            <w:vAlign w:val="center"/>
          </w:tcPr>
          <w:p w:rsidR="00892C94" w:rsidRDefault="00892C94" w:rsidP="00705F5E">
            <w:pPr>
              <w:rPr>
                <w:bCs/>
              </w:rPr>
            </w:pPr>
            <w:r>
              <w:rPr>
                <w:bCs/>
              </w:rPr>
              <w:t>Digital ads and regular social media posts</w:t>
            </w:r>
          </w:p>
        </w:tc>
      </w:tr>
      <w:tr w:rsidR="00892C94" w:rsidTr="00E41176">
        <w:trPr>
          <w:trHeight w:val="435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September 16</w:t>
            </w:r>
          </w:p>
        </w:tc>
        <w:tc>
          <w:tcPr>
            <w:tcW w:w="7144" w:type="dxa"/>
            <w:vAlign w:val="center"/>
          </w:tcPr>
          <w:p w:rsidR="00892C94" w:rsidRDefault="0081194C" w:rsidP="0081194C">
            <w:pPr>
              <w:rPr>
                <w:bCs/>
              </w:rPr>
            </w:pPr>
            <w:r>
              <w:rPr>
                <w:bCs/>
              </w:rPr>
              <w:t>Preview of project e</w:t>
            </w:r>
            <w:r w:rsidR="00892C94">
              <w:rPr>
                <w:bCs/>
              </w:rPr>
              <w:t xml:space="preserve">mails and </w:t>
            </w:r>
            <w:proofErr w:type="spellStart"/>
            <w:r w:rsidR="00892C94">
              <w:rPr>
                <w:bCs/>
              </w:rPr>
              <w:t>Academica</w:t>
            </w:r>
            <w:proofErr w:type="spellEnd"/>
            <w:r w:rsidR="00892C94">
              <w:rPr>
                <w:bCs/>
              </w:rPr>
              <w:t xml:space="preserve"> launch</w:t>
            </w:r>
          </w:p>
        </w:tc>
      </w:tr>
      <w:tr w:rsidR="00892C94" w:rsidTr="007A78EF">
        <w:trPr>
          <w:trHeight w:val="2006"/>
        </w:trPr>
        <w:tc>
          <w:tcPr>
            <w:tcW w:w="2250" w:type="dxa"/>
            <w:vAlign w:val="center"/>
          </w:tcPr>
          <w:p w:rsidR="00892C94" w:rsidRPr="00892C94" w:rsidRDefault="00892C94" w:rsidP="00705F5E">
            <w:pPr>
              <w:jc w:val="center"/>
              <w:rPr>
                <w:b/>
                <w:bCs/>
              </w:rPr>
            </w:pPr>
            <w:r w:rsidRPr="00CB3DEC">
              <w:rPr>
                <w:b/>
                <w:bCs/>
                <w:sz w:val="28"/>
              </w:rPr>
              <w:t>September 17</w:t>
            </w:r>
          </w:p>
        </w:tc>
        <w:tc>
          <w:tcPr>
            <w:tcW w:w="7144" w:type="dxa"/>
            <w:vAlign w:val="center"/>
          </w:tcPr>
          <w:p w:rsidR="00892C94" w:rsidRDefault="00705F5E" w:rsidP="00E4117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9 a.m. – challenges announced and S/C/U emails released</w:t>
            </w:r>
          </w:p>
          <w:p w:rsidR="00705F5E" w:rsidRDefault="00705F5E" w:rsidP="00E4117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Noon – Status update emails and social media posts</w:t>
            </w:r>
          </w:p>
          <w:p w:rsidR="00705F5E" w:rsidRDefault="00705F5E" w:rsidP="00E4117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 p.m. – Six hours left email</w:t>
            </w:r>
          </w:p>
          <w:p w:rsidR="00E41176" w:rsidRDefault="00705F5E" w:rsidP="00E4117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Call Center – 10 a.m. to 10 p.m.</w:t>
            </w:r>
          </w:p>
        </w:tc>
      </w:tr>
      <w:tr w:rsidR="00892C94" w:rsidTr="00E41176">
        <w:trPr>
          <w:trHeight w:val="435"/>
        </w:trPr>
        <w:tc>
          <w:tcPr>
            <w:tcW w:w="2250" w:type="dxa"/>
            <w:vAlign w:val="center"/>
          </w:tcPr>
          <w:p w:rsidR="00892C94" w:rsidRDefault="00892C94" w:rsidP="00705F5E">
            <w:pPr>
              <w:jc w:val="center"/>
              <w:rPr>
                <w:bCs/>
              </w:rPr>
            </w:pPr>
            <w:r>
              <w:rPr>
                <w:bCs/>
              </w:rPr>
              <w:t>September 18+</w:t>
            </w:r>
          </w:p>
        </w:tc>
        <w:tc>
          <w:tcPr>
            <w:tcW w:w="7144" w:type="dxa"/>
            <w:vAlign w:val="center"/>
          </w:tcPr>
          <w:p w:rsidR="00892C94" w:rsidRDefault="002E7C4D" w:rsidP="00705F5E">
            <w:pPr>
              <w:rPr>
                <w:bCs/>
              </w:rPr>
            </w:pPr>
            <w:r>
              <w:rPr>
                <w:bCs/>
              </w:rPr>
              <w:t xml:space="preserve">Donor acknowledgement </w:t>
            </w:r>
            <w:r w:rsidR="00892C94">
              <w:rPr>
                <w:bCs/>
              </w:rPr>
              <w:t>efforts</w:t>
            </w:r>
          </w:p>
        </w:tc>
      </w:tr>
      <w:tr w:rsidR="00705F5E" w:rsidTr="00E41176">
        <w:trPr>
          <w:trHeight w:val="435"/>
        </w:trPr>
        <w:tc>
          <w:tcPr>
            <w:tcW w:w="2250" w:type="dxa"/>
            <w:vAlign w:val="center"/>
          </w:tcPr>
          <w:p w:rsidR="00705F5E" w:rsidRDefault="00705F5E" w:rsidP="00705F5E">
            <w:pPr>
              <w:jc w:val="center"/>
              <w:rPr>
                <w:bCs/>
              </w:rPr>
            </w:pPr>
            <w:r>
              <w:rPr>
                <w:bCs/>
              </w:rPr>
              <w:t>Mid-October</w:t>
            </w:r>
          </w:p>
        </w:tc>
        <w:tc>
          <w:tcPr>
            <w:tcW w:w="7144" w:type="dxa"/>
            <w:vAlign w:val="center"/>
          </w:tcPr>
          <w:p w:rsidR="00705F5E" w:rsidRDefault="00705F5E" w:rsidP="00705F5E">
            <w:pPr>
              <w:rPr>
                <w:bCs/>
              </w:rPr>
            </w:pPr>
            <w:r>
              <w:rPr>
                <w:bCs/>
              </w:rPr>
              <w:t>Giving Day results shared</w:t>
            </w:r>
          </w:p>
        </w:tc>
      </w:tr>
    </w:tbl>
    <w:p w:rsidR="00501209" w:rsidRPr="00CB3DEC" w:rsidRDefault="0061058E">
      <w:pPr>
        <w:rPr>
          <w:b/>
          <w:color w:val="00594F"/>
          <w:sz w:val="32"/>
        </w:rPr>
      </w:pPr>
      <w:r>
        <w:rPr>
          <w:b/>
          <w:color w:val="00594F"/>
          <w:sz w:val="32"/>
        </w:rPr>
        <w:lastRenderedPageBreak/>
        <w:t>Communication to</w:t>
      </w:r>
      <w:r w:rsidR="00605114" w:rsidRPr="00CB3DEC">
        <w:rPr>
          <w:b/>
          <w:color w:val="00594F"/>
          <w:sz w:val="32"/>
        </w:rPr>
        <w:t xml:space="preserve"> </w:t>
      </w:r>
      <w:r>
        <w:rPr>
          <w:b/>
          <w:color w:val="00594F"/>
          <w:sz w:val="32"/>
        </w:rPr>
        <w:t xml:space="preserve">School/College </w:t>
      </w:r>
      <w:r w:rsidR="00605114" w:rsidRPr="00CB3DEC">
        <w:rPr>
          <w:b/>
          <w:color w:val="00594F"/>
          <w:sz w:val="32"/>
        </w:rPr>
        <w:t>Alumni and Donors</w:t>
      </w:r>
    </w:p>
    <w:p w:rsidR="0081194C" w:rsidRDefault="0081194C">
      <w:r w:rsidRPr="00D16FF7">
        <w:t>The follow</w:t>
      </w:r>
      <w:r w:rsidR="00341E7A">
        <w:t xml:space="preserve">ing table summarizes the </w:t>
      </w:r>
      <w:r w:rsidR="007A78EF">
        <w:t>school/college</w:t>
      </w:r>
      <w:r w:rsidR="00341E7A">
        <w:t xml:space="preserve"> based communication touch points</w:t>
      </w:r>
      <w:r w:rsidR="006A12E5">
        <w:t>, also managed by the Office of Annual Giving</w:t>
      </w:r>
      <w:r w:rsidR="00341E7A">
        <w:t>.</w:t>
      </w:r>
      <w:r w:rsidR="00D16FF7" w:rsidRPr="00D16FF7">
        <w:t xml:space="preserve"> This </w:t>
      </w:r>
      <w:r w:rsidR="00D16FF7">
        <w:t xml:space="preserve">communication </w:t>
      </w:r>
      <w:r w:rsidR="00D16FF7" w:rsidRPr="00D16FF7">
        <w:t xml:space="preserve">is in addition to the multiple Giving Day messages </w:t>
      </w:r>
      <w:r w:rsidR="00C21BC9">
        <w:t>sent t</w:t>
      </w:r>
      <w:r w:rsidR="00D16FF7" w:rsidRPr="00D16FF7">
        <w:t>o all alumni</w:t>
      </w:r>
      <w:r w:rsidR="00341E7A">
        <w:t xml:space="preserve"> (mass communication).</w:t>
      </w:r>
      <w:r w:rsidR="00D16FF7" w:rsidRPr="00D16FF7">
        <w:t xml:space="preserve">  </w:t>
      </w:r>
      <w:r w:rsidRPr="00D16FF7">
        <w:t xml:space="preserve"> </w:t>
      </w:r>
    </w:p>
    <w:p w:rsidR="00E41176" w:rsidRPr="00E41176" w:rsidRDefault="00E41176">
      <w:pPr>
        <w:rPr>
          <w:sz w:val="4"/>
        </w:rPr>
      </w:pPr>
    </w:p>
    <w:tbl>
      <w:tblPr>
        <w:tblStyle w:val="TableGrid"/>
        <w:tblW w:w="9445" w:type="dxa"/>
        <w:tblBorders>
          <w:top w:val="dotted" w:sz="4" w:space="0" w:color="008A7A"/>
          <w:left w:val="none" w:sz="0" w:space="0" w:color="auto"/>
          <w:bottom w:val="dotted" w:sz="4" w:space="0" w:color="008A7A"/>
          <w:right w:val="none" w:sz="0" w:space="0" w:color="auto"/>
          <w:insideH w:val="dotted" w:sz="4" w:space="0" w:color="008A7A"/>
          <w:insideV w:val="dotted" w:sz="4" w:space="0" w:color="008A7A"/>
        </w:tblBorders>
        <w:tblLook w:val="04A0" w:firstRow="1" w:lastRow="0" w:firstColumn="1" w:lastColumn="0" w:noHBand="0" w:noVBand="1"/>
      </w:tblPr>
      <w:tblGrid>
        <w:gridCol w:w="2524"/>
        <w:gridCol w:w="6921"/>
      </w:tblGrid>
      <w:tr w:rsidR="0081194C" w:rsidTr="00CB3DEC">
        <w:trPr>
          <w:trHeight w:val="395"/>
        </w:trPr>
        <w:tc>
          <w:tcPr>
            <w:tcW w:w="2524" w:type="dxa"/>
            <w:vAlign w:val="center"/>
          </w:tcPr>
          <w:p w:rsidR="0081194C" w:rsidRDefault="0081194C" w:rsidP="0081194C">
            <w:pPr>
              <w:jc w:val="center"/>
              <w:rPr>
                <w:b/>
                <w:sz w:val="28"/>
              </w:rPr>
            </w:pPr>
          </w:p>
        </w:tc>
        <w:tc>
          <w:tcPr>
            <w:tcW w:w="6921" w:type="dxa"/>
            <w:vAlign w:val="center"/>
          </w:tcPr>
          <w:p w:rsidR="0081194C" w:rsidRDefault="0081194C" w:rsidP="0081194C">
            <w:pPr>
              <w:rPr>
                <w:b/>
                <w:sz w:val="28"/>
              </w:rPr>
            </w:pPr>
            <w:r w:rsidRPr="00CB3DEC">
              <w:rPr>
                <w:b/>
                <w:sz w:val="24"/>
              </w:rPr>
              <w:t>Unit Specific Population</w:t>
            </w:r>
          </w:p>
        </w:tc>
      </w:tr>
      <w:tr w:rsidR="0081194C" w:rsidTr="007A78EF">
        <w:trPr>
          <w:trHeight w:val="1007"/>
        </w:trPr>
        <w:tc>
          <w:tcPr>
            <w:tcW w:w="2524" w:type="dxa"/>
            <w:vAlign w:val="center"/>
          </w:tcPr>
          <w:p w:rsidR="0081194C" w:rsidRPr="00705F5E" w:rsidRDefault="0081194C" w:rsidP="0081194C">
            <w:pPr>
              <w:jc w:val="center"/>
            </w:pPr>
            <w:r w:rsidRPr="00705F5E">
              <w:t>Month of August</w:t>
            </w:r>
          </w:p>
        </w:tc>
        <w:tc>
          <w:tcPr>
            <w:tcW w:w="6921" w:type="dxa"/>
            <w:vAlign w:val="center"/>
          </w:tcPr>
          <w:p w:rsidR="0081194C" w:rsidRPr="00705F5E" w:rsidRDefault="007A78EF" w:rsidP="0081194C">
            <w:r>
              <w:t>School/college</w:t>
            </w:r>
            <w:r w:rsidR="0081194C">
              <w:t xml:space="preserve"> can utilize toolkits to incorporate Giving Day messaging into their emails and social media posts</w:t>
            </w:r>
            <w:r w:rsidR="00341E7A">
              <w:t>.</w:t>
            </w:r>
          </w:p>
        </w:tc>
      </w:tr>
      <w:tr w:rsidR="0081194C" w:rsidTr="007A78EF">
        <w:trPr>
          <w:trHeight w:val="971"/>
        </w:trPr>
        <w:tc>
          <w:tcPr>
            <w:tcW w:w="2524" w:type="dxa"/>
            <w:vAlign w:val="center"/>
          </w:tcPr>
          <w:p w:rsidR="0081194C" w:rsidRPr="00705F5E" w:rsidRDefault="0081194C" w:rsidP="0081194C">
            <w:pPr>
              <w:jc w:val="center"/>
            </w:pPr>
            <w:r>
              <w:t>September 3</w:t>
            </w:r>
          </w:p>
        </w:tc>
        <w:tc>
          <w:tcPr>
            <w:tcW w:w="6921" w:type="dxa"/>
            <w:vAlign w:val="center"/>
          </w:tcPr>
          <w:p w:rsidR="0081194C" w:rsidRPr="00705F5E" w:rsidRDefault="0081194C" w:rsidP="007A78EF">
            <w:r>
              <w:t xml:space="preserve">Annual Giving will send </w:t>
            </w:r>
            <w:r w:rsidR="007A78EF">
              <w:t>school/college</w:t>
            </w:r>
            <w:r w:rsidR="00341E7A">
              <w:t xml:space="preserve"> based </w:t>
            </w:r>
            <w:r>
              <w:t>email</w:t>
            </w:r>
            <w:r w:rsidR="00341E7A">
              <w:t>s</w:t>
            </w:r>
            <w:r>
              <w:t xml:space="preserve"> to each</w:t>
            </w:r>
            <w:r w:rsidR="002E7C4D">
              <w:t xml:space="preserve"> school/college</w:t>
            </w:r>
            <w:r>
              <w:t xml:space="preserve"> population (all alumni</w:t>
            </w:r>
            <w:r w:rsidR="007A78EF">
              <w:t>); this email will promote school/college</w:t>
            </w:r>
            <w:r>
              <w:t xml:space="preserve"> projects and matches/challenges</w:t>
            </w:r>
            <w:r w:rsidR="00341E7A">
              <w:t>.</w:t>
            </w:r>
          </w:p>
        </w:tc>
      </w:tr>
      <w:tr w:rsidR="00341E7A" w:rsidTr="007A78EF">
        <w:trPr>
          <w:trHeight w:val="1007"/>
        </w:trPr>
        <w:tc>
          <w:tcPr>
            <w:tcW w:w="2524" w:type="dxa"/>
            <w:vAlign w:val="center"/>
          </w:tcPr>
          <w:p w:rsidR="00341E7A" w:rsidRDefault="00341E7A" w:rsidP="00341E7A">
            <w:pPr>
              <w:jc w:val="center"/>
            </w:pPr>
            <w:r>
              <w:t>September 17</w:t>
            </w:r>
          </w:p>
        </w:tc>
        <w:tc>
          <w:tcPr>
            <w:tcW w:w="6921" w:type="dxa"/>
            <w:vAlign w:val="center"/>
          </w:tcPr>
          <w:p w:rsidR="00341E7A" w:rsidRPr="00705F5E" w:rsidRDefault="00341E7A" w:rsidP="002E7C4D">
            <w:r>
              <w:t xml:space="preserve">Annual Giving will send </w:t>
            </w:r>
            <w:r w:rsidR="002E7C4D">
              <w:t>school/college based emails to each school/college</w:t>
            </w:r>
            <w:r>
              <w:t xml:space="preserve"> population (all alumni); this email will promote </w:t>
            </w:r>
            <w:r w:rsidR="002E7C4D">
              <w:t>school/college</w:t>
            </w:r>
            <w:r>
              <w:t xml:space="preserve"> projects and matches/challenges.</w:t>
            </w:r>
          </w:p>
        </w:tc>
      </w:tr>
    </w:tbl>
    <w:p w:rsidR="007A78EF" w:rsidRDefault="007A78EF" w:rsidP="007A78EF">
      <w:pPr>
        <w:rPr>
          <w:b/>
          <w:color w:val="00594F"/>
          <w:sz w:val="18"/>
        </w:rPr>
      </w:pPr>
    </w:p>
    <w:p w:rsidR="007A78EF" w:rsidRPr="00E41176" w:rsidRDefault="007A78EF" w:rsidP="007A78EF">
      <w:pPr>
        <w:rPr>
          <w:b/>
          <w:color w:val="00594F"/>
          <w:sz w:val="18"/>
        </w:rPr>
      </w:pPr>
    </w:p>
    <w:p w:rsidR="00501209" w:rsidRPr="002508D1" w:rsidRDefault="00501209">
      <w:pPr>
        <w:rPr>
          <w:color w:val="00594F"/>
          <w:sz w:val="24"/>
        </w:rPr>
      </w:pPr>
      <w:r w:rsidRPr="002508D1">
        <w:rPr>
          <w:b/>
          <w:color w:val="00594F"/>
          <w:sz w:val="32"/>
        </w:rPr>
        <w:t xml:space="preserve">Key </w:t>
      </w:r>
      <w:r w:rsidR="00D16FF7" w:rsidRPr="002508D1">
        <w:rPr>
          <w:b/>
          <w:color w:val="00594F"/>
          <w:sz w:val="32"/>
        </w:rPr>
        <w:t>Opportunities to Leverage</w:t>
      </w:r>
      <w:r w:rsidR="00341E7A" w:rsidRPr="002508D1">
        <w:rPr>
          <w:b/>
          <w:color w:val="00594F"/>
          <w:sz w:val="32"/>
        </w:rPr>
        <w:t xml:space="preserve"> Giving Day</w:t>
      </w:r>
    </w:p>
    <w:p w:rsidR="00501209" w:rsidRDefault="003F4849" w:rsidP="00C21BC9">
      <w:pPr>
        <w:pStyle w:val="ListParagraph"/>
        <w:numPr>
          <w:ilvl w:val="0"/>
          <w:numId w:val="1"/>
        </w:numPr>
        <w:spacing w:line="360" w:lineRule="auto"/>
      </w:pPr>
      <w:r>
        <w:t>Work with your director/</w:t>
      </w:r>
      <w:r w:rsidR="00ED4AC6">
        <w:t>individual giving</w:t>
      </w:r>
      <w:r>
        <w:t xml:space="preserve"> officer</w:t>
      </w:r>
      <w:r w:rsidR="002246DD">
        <w:t xml:space="preserve"> </w:t>
      </w:r>
      <w:r w:rsidR="002246DD" w:rsidRPr="00E41176">
        <w:rPr>
          <w:i/>
        </w:rPr>
        <w:t>and</w:t>
      </w:r>
      <w:r w:rsidR="002246DD">
        <w:t xml:space="preserve"> </w:t>
      </w:r>
      <w:r w:rsidR="00501209" w:rsidRPr="00501209">
        <w:t xml:space="preserve">communication officer to </w:t>
      </w:r>
      <w:r w:rsidR="00C21BC9">
        <w:t xml:space="preserve">utilize talking points from </w:t>
      </w:r>
      <w:r w:rsidR="00DA2191">
        <w:t xml:space="preserve">the Giving Day </w:t>
      </w:r>
      <w:r w:rsidR="00C21BC9">
        <w:t xml:space="preserve">toolkits </w:t>
      </w:r>
      <w:r w:rsidR="00B72B8B">
        <w:t xml:space="preserve">for </w:t>
      </w:r>
      <w:r w:rsidR="00E41176">
        <w:t xml:space="preserve">your unit </w:t>
      </w:r>
      <w:r w:rsidR="00B72B8B">
        <w:t xml:space="preserve">emails and </w:t>
      </w:r>
      <w:r w:rsidR="00C21BC9">
        <w:t xml:space="preserve">social media </w:t>
      </w:r>
      <w:r w:rsidR="00B72B8B">
        <w:t xml:space="preserve">posts and </w:t>
      </w:r>
      <w:r w:rsidR="00C21BC9">
        <w:t>hashtags.</w:t>
      </w:r>
    </w:p>
    <w:p w:rsidR="00C21BC9" w:rsidRDefault="00ED4AC6" w:rsidP="00C21BC9">
      <w:pPr>
        <w:pStyle w:val="ListParagraph"/>
        <w:numPr>
          <w:ilvl w:val="0"/>
          <w:numId w:val="1"/>
        </w:numPr>
        <w:spacing w:line="360" w:lineRule="auto"/>
      </w:pPr>
      <w:r>
        <w:t>Leverage</w:t>
      </w:r>
      <w:r w:rsidR="00C21BC9">
        <w:t xml:space="preserve"> monthly emails </w:t>
      </w:r>
      <w:r w:rsidR="003F4849">
        <w:t>and personal messages b</w:t>
      </w:r>
      <w:r w:rsidR="00C21BC9">
        <w:t xml:space="preserve">etween now and September 17 to speak about the importance of Giving </w:t>
      </w:r>
      <w:r w:rsidR="008D5DB7">
        <w:t>Day and the projects that are key to furthering your vision.</w:t>
      </w:r>
      <w:r w:rsidR="00C21BC9">
        <w:t xml:space="preserve"> </w:t>
      </w:r>
    </w:p>
    <w:p w:rsidR="00C21BC9" w:rsidRDefault="00C21BC9" w:rsidP="00C21BC9">
      <w:pPr>
        <w:pStyle w:val="ListParagraph"/>
        <w:numPr>
          <w:ilvl w:val="0"/>
          <w:numId w:val="1"/>
        </w:numPr>
        <w:spacing w:line="360" w:lineRule="auto"/>
      </w:pPr>
      <w:r>
        <w:t>Incorporate Giving Day messaging, even if</w:t>
      </w:r>
      <w:r w:rsidR="00B72B8B">
        <w:t xml:space="preserve"> </w:t>
      </w:r>
      <w:proofErr w:type="gramStart"/>
      <w:r w:rsidR="00B72B8B">
        <w:t>it’s</w:t>
      </w:r>
      <w:proofErr w:type="gramEnd"/>
      <w:r>
        <w:t xml:space="preserve"> a save-the-date sentence, into all emails to </w:t>
      </w:r>
      <w:r w:rsidR="003F4849">
        <w:t>school/college f</w:t>
      </w:r>
      <w:r>
        <w:t xml:space="preserve">aculty, staff and students. </w:t>
      </w:r>
      <w:r w:rsidR="002E7C4D">
        <w:t>Moreover, e</w:t>
      </w:r>
      <w:r w:rsidR="003F4849">
        <w:t xml:space="preserve">ncourage faculty and staff to utilize the Giving Day email signature. </w:t>
      </w:r>
    </w:p>
    <w:p w:rsidR="00341E7A" w:rsidRDefault="00B72B8B" w:rsidP="00C21BC9">
      <w:pPr>
        <w:pStyle w:val="ListParagraph"/>
        <w:numPr>
          <w:ilvl w:val="0"/>
          <w:numId w:val="1"/>
        </w:numPr>
        <w:spacing w:line="360" w:lineRule="auto"/>
      </w:pPr>
      <w:r>
        <w:t>In September, share Giving Day messaging and #</w:t>
      </w:r>
      <w:proofErr w:type="spellStart"/>
      <w:r>
        <w:t>GiveGreenBeGold</w:t>
      </w:r>
      <w:proofErr w:type="spellEnd"/>
      <w:r>
        <w:t xml:space="preserve"> through your personal Facebook, Instagram and LinkedIn accounts. </w:t>
      </w:r>
    </w:p>
    <w:p w:rsidR="003F4849" w:rsidRPr="00501209" w:rsidRDefault="00ED4AC6" w:rsidP="00C21BC9">
      <w:pPr>
        <w:pStyle w:val="ListParagraph"/>
        <w:numPr>
          <w:ilvl w:val="0"/>
          <w:numId w:val="1"/>
        </w:numPr>
        <w:spacing w:line="360" w:lineRule="auto"/>
      </w:pPr>
      <w:r>
        <w:t xml:space="preserve">On September 17, make a personal commitment to support Giving Day with a gift, which will further </w:t>
      </w:r>
      <w:r w:rsidR="00AC57FA">
        <w:t>demonstrate</w:t>
      </w:r>
      <w:r>
        <w:t xml:space="preserve"> the importance of philanthropy within your school/college.  </w:t>
      </w:r>
    </w:p>
    <w:p w:rsidR="00501209" w:rsidRDefault="00501209">
      <w:pPr>
        <w:rPr>
          <w:b/>
          <w:sz w:val="28"/>
        </w:rPr>
      </w:pPr>
    </w:p>
    <w:p w:rsidR="007A78EF" w:rsidRDefault="00CC7E59">
      <w:pPr>
        <w:rPr>
          <w:b/>
          <w:sz w:val="28"/>
        </w:rPr>
      </w:pPr>
      <w:r w:rsidRPr="00AC57FA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99CB4B" wp14:editId="6818DA21">
                <wp:simplePos x="0" y="0"/>
                <wp:positionH relativeFrom="column">
                  <wp:posOffset>5647690</wp:posOffset>
                </wp:positionH>
                <wp:positionV relativeFrom="page">
                  <wp:posOffset>9410700</wp:posOffset>
                </wp:positionV>
                <wp:extent cx="86677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FA" w:rsidRDefault="00AC57FA" w:rsidP="00AC57FA">
                            <w:r>
                              <w:t>Page 2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CB4B" id="_x0000_s1028" type="#_x0000_t202" style="position:absolute;margin-left:444.7pt;margin-top:741pt;width:68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" stroked="f">
                <v:textbox>
                  <w:txbxContent>
                    <w:p w:rsidR="00AC57FA" w:rsidRDefault="00AC57FA" w:rsidP="00AC57FA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8EF" w:rsidRDefault="007A78EF">
      <w:pPr>
        <w:rPr>
          <w:b/>
          <w:sz w:val="28"/>
        </w:rPr>
      </w:pPr>
    </w:p>
    <w:p w:rsidR="00501209" w:rsidRPr="002508D1" w:rsidRDefault="00501209">
      <w:pPr>
        <w:rPr>
          <w:b/>
          <w:color w:val="00594F"/>
          <w:sz w:val="32"/>
        </w:rPr>
      </w:pPr>
      <w:r w:rsidRPr="002508D1">
        <w:rPr>
          <w:b/>
          <w:color w:val="00594F"/>
          <w:sz w:val="32"/>
        </w:rPr>
        <w:lastRenderedPageBreak/>
        <w:t>Sources of More Information</w:t>
      </w:r>
    </w:p>
    <w:p w:rsidR="00501209" w:rsidRDefault="00341E7A" w:rsidP="007A78EF">
      <w:pPr>
        <w:pStyle w:val="ListParagraph"/>
        <w:numPr>
          <w:ilvl w:val="0"/>
          <w:numId w:val="2"/>
        </w:numPr>
        <w:spacing w:line="360" w:lineRule="auto"/>
      </w:pPr>
      <w:r w:rsidRPr="00CB1896">
        <w:rPr>
          <w:b/>
        </w:rPr>
        <w:t>Your m</w:t>
      </w:r>
      <w:r w:rsidR="00501209" w:rsidRPr="00CB1896">
        <w:rPr>
          <w:b/>
        </w:rPr>
        <w:t xml:space="preserve">ain contact is your </w:t>
      </w:r>
      <w:r w:rsidR="00ED4AC6">
        <w:rPr>
          <w:b/>
        </w:rPr>
        <w:t>director/</w:t>
      </w:r>
      <w:r w:rsidR="007A78EF">
        <w:rPr>
          <w:b/>
        </w:rPr>
        <w:t>individual giving</w:t>
      </w:r>
      <w:r w:rsidR="00ED4AC6">
        <w:rPr>
          <w:b/>
        </w:rPr>
        <w:t xml:space="preserve"> officer</w:t>
      </w:r>
      <w:r>
        <w:t xml:space="preserve">. </w:t>
      </w:r>
      <w:r w:rsidR="002E7C4D">
        <w:t>They</w:t>
      </w:r>
      <w:r>
        <w:t xml:space="preserve"> </w:t>
      </w:r>
      <w:r w:rsidR="00CB1896">
        <w:t xml:space="preserve">serve as the point person for updates to the </w:t>
      </w:r>
      <w:r w:rsidR="007A78EF">
        <w:t>school/college</w:t>
      </w:r>
      <w:r w:rsidR="002E7C4D">
        <w:t xml:space="preserve"> project website and have</w:t>
      </w:r>
      <w:r w:rsidR="00CB1896">
        <w:t xml:space="preserve"> access to </w:t>
      </w:r>
      <w:r>
        <w:t xml:space="preserve">toolkits, talking points and additional updates on how the campaign is progressing. </w:t>
      </w:r>
    </w:p>
    <w:p w:rsidR="00501209" w:rsidRPr="00341E7A" w:rsidRDefault="00892C94" w:rsidP="007A78EF">
      <w:pPr>
        <w:pStyle w:val="ListParagraph"/>
        <w:numPr>
          <w:ilvl w:val="0"/>
          <w:numId w:val="2"/>
        </w:numPr>
        <w:spacing w:line="360" w:lineRule="auto"/>
      </w:pPr>
      <w:r w:rsidRPr="00341E7A">
        <w:t>Additional contacts:</w:t>
      </w:r>
      <w:r w:rsidR="00AC57FA" w:rsidRPr="00AC57FA">
        <w:rPr>
          <w:b/>
          <w:noProof/>
          <w:sz w:val="28"/>
        </w:rPr>
        <w:t xml:space="preserve"> </w:t>
      </w:r>
    </w:p>
    <w:p w:rsidR="00DA2191" w:rsidRDefault="00892C94" w:rsidP="007A78EF">
      <w:pPr>
        <w:pStyle w:val="ListParagraph"/>
        <w:numPr>
          <w:ilvl w:val="1"/>
          <w:numId w:val="2"/>
        </w:numPr>
        <w:spacing w:line="360" w:lineRule="auto"/>
      </w:pPr>
      <w:r>
        <w:t>Emails, populations and reporting</w:t>
      </w:r>
    </w:p>
    <w:p w:rsidR="00501209" w:rsidRDefault="00501209" w:rsidP="007A78EF">
      <w:pPr>
        <w:pStyle w:val="ListParagraph"/>
        <w:numPr>
          <w:ilvl w:val="2"/>
          <w:numId w:val="2"/>
        </w:numPr>
        <w:spacing w:line="360" w:lineRule="auto"/>
      </w:pPr>
      <w:r>
        <w:t>Jeanine Simnick, Director of Annual Giving</w:t>
      </w:r>
      <w:r w:rsidR="00DA2191">
        <w:t>, jsimnick@wayne.edu</w:t>
      </w:r>
    </w:p>
    <w:p w:rsidR="00DA2191" w:rsidRDefault="002E7C4D" w:rsidP="007A78EF">
      <w:pPr>
        <w:pStyle w:val="ListParagraph"/>
        <w:numPr>
          <w:ilvl w:val="1"/>
          <w:numId w:val="2"/>
        </w:numPr>
        <w:spacing w:line="360" w:lineRule="auto"/>
      </w:pPr>
      <w:r>
        <w:t>School/college</w:t>
      </w:r>
      <w:r w:rsidR="00341E7A">
        <w:t xml:space="preserve"> p</w:t>
      </w:r>
      <w:r w:rsidR="00892C94">
        <w:t>roject website</w:t>
      </w:r>
      <w:r w:rsidR="00341E7A">
        <w:t xml:space="preserve"> and Ambassador communication</w:t>
      </w:r>
    </w:p>
    <w:p w:rsidR="00892C94" w:rsidRDefault="00892C94" w:rsidP="007A78EF">
      <w:pPr>
        <w:pStyle w:val="ListParagraph"/>
        <w:numPr>
          <w:ilvl w:val="2"/>
          <w:numId w:val="2"/>
        </w:numPr>
        <w:spacing w:line="360" w:lineRule="auto"/>
      </w:pPr>
      <w:r>
        <w:t>Courtney Durham</w:t>
      </w:r>
      <w:r w:rsidR="00341E7A">
        <w:t>, Annual Giving Officer</w:t>
      </w:r>
      <w:r w:rsidR="00DA2191">
        <w:t>, courtney.durham@wayne.edu</w:t>
      </w:r>
    </w:p>
    <w:p w:rsidR="00DA2191" w:rsidRDefault="002E7C4D" w:rsidP="007A78EF">
      <w:pPr>
        <w:pStyle w:val="ListParagraph"/>
        <w:numPr>
          <w:ilvl w:val="1"/>
          <w:numId w:val="2"/>
        </w:numPr>
        <w:spacing w:line="360" w:lineRule="auto"/>
      </w:pPr>
      <w:r>
        <w:t>Acknowledgement/gratitude activities</w:t>
      </w:r>
    </w:p>
    <w:p w:rsidR="00892C94" w:rsidRDefault="00892C94" w:rsidP="007A78EF">
      <w:pPr>
        <w:pStyle w:val="ListParagraph"/>
        <w:numPr>
          <w:ilvl w:val="2"/>
          <w:numId w:val="2"/>
        </w:numPr>
        <w:spacing w:line="360" w:lineRule="auto"/>
      </w:pPr>
      <w:r>
        <w:t>Leslie Carmona</w:t>
      </w:r>
      <w:r w:rsidR="00341E7A">
        <w:t>, Director</w:t>
      </w:r>
      <w:r w:rsidR="00DA2191">
        <w:t xml:space="preserve">, </w:t>
      </w:r>
      <w:r w:rsidR="00341E7A">
        <w:t>Donor Relations</w:t>
      </w:r>
      <w:r w:rsidR="00DA2191">
        <w:t>, leslie.carmona@wayne.edu</w:t>
      </w:r>
    </w:p>
    <w:p w:rsidR="00892C94" w:rsidRDefault="00892C94" w:rsidP="007A78EF">
      <w:pPr>
        <w:pStyle w:val="ListParagraph"/>
        <w:numPr>
          <w:ilvl w:val="1"/>
          <w:numId w:val="2"/>
        </w:numPr>
        <w:spacing w:line="360" w:lineRule="auto"/>
      </w:pPr>
      <w:r>
        <w:t>Unit email promotions</w:t>
      </w:r>
    </w:p>
    <w:p w:rsidR="00DA2191" w:rsidRDefault="00DA2191" w:rsidP="007A78EF">
      <w:pPr>
        <w:pStyle w:val="ListParagraph"/>
        <w:numPr>
          <w:ilvl w:val="2"/>
          <w:numId w:val="2"/>
        </w:numPr>
        <w:spacing w:line="360" w:lineRule="auto"/>
      </w:pPr>
      <w:r>
        <w:t>Annessa (Carlisle) Morley, Director, Strategic Alumni Initiatives, annessa.morl</w:t>
      </w:r>
      <w:r w:rsidR="002E7C4D">
        <w:t>e</w:t>
      </w:r>
      <w:r>
        <w:t>y@wayne.edu</w:t>
      </w:r>
    </w:p>
    <w:p w:rsidR="004843FD" w:rsidRDefault="007A78EF">
      <w:r w:rsidRPr="00AC57FA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8B4B03" wp14:editId="29C99D9D">
                <wp:simplePos x="0" y="0"/>
                <wp:positionH relativeFrom="column">
                  <wp:posOffset>5644825</wp:posOffset>
                </wp:positionH>
                <wp:positionV relativeFrom="page">
                  <wp:posOffset>9400540</wp:posOffset>
                </wp:positionV>
                <wp:extent cx="866775" cy="3143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8EF" w:rsidRDefault="007A78EF" w:rsidP="007A78EF"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4B03" id="_x0000_s1029" type="#_x0000_t202" style="position:absolute;margin-left:444.45pt;margin-top:740.2pt;width:68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" stroked="f">
                <v:textbox>
                  <w:txbxContent>
                    <w:p w:rsidR="007A78EF" w:rsidRDefault="007A78EF" w:rsidP="007A78EF">
                      <w:r>
                        <w:t xml:space="preserve">Page </w:t>
                      </w:r>
                      <w:r>
                        <w:t>3</w:t>
                      </w:r>
                      <w:r>
                        <w:t xml:space="preserve"> of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57FA" w:rsidRPr="00AC57FA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99CB4B" wp14:editId="6818DA21">
                <wp:simplePos x="0" y="0"/>
                <wp:positionH relativeFrom="column">
                  <wp:posOffset>5600700</wp:posOffset>
                </wp:positionH>
                <wp:positionV relativeFrom="paragraph">
                  <wp:posOffset>6644005</wp:posOffset>
                </wp:positionV>
                <wp:extent cx="866775" cy="3143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FA" w:rsidRDefault="00AC57FA" w:rsidP="00AC57FA"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CB4B" id="_x0000_s1030" type="#_x0000_t202" style="position:absolute;margin-left:441pt;margin-top:523.15pt;width:68.2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" stroked="f">
                <v:textbox>
                  <w:txbxContent>
                    <w:p w:rsidR="00AC57FA" w:rsidRDefault="00AC57FA" w:rsidP="00AC57FA">
                      <w:r>
                        <w:t xml:space="preserve">Page </w:t>
                      </w:r>
                      <w:r>
                        <w:t>3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3FD" w:rsidSect="00CB3DEC">
      <w:pgSz w:w="12240" w:h="15840"/>
      <w:pgMar w:top="1440" w:right="1440" w:bottom="1440" w:left="1440" w:header="720" w:footer="720" w:gutter="0"/>
      <w:pgBorders w:offsetFrom="page">
        <w:top w:val="dotted" w:sz="4" w:space="24" w:color="008A7A" w:shadow="1"/>
        <w:left w:val="dotted" w:sz="4" w:space="24" w:color="008A7A" w:shadow="1"/>
        <w:bottom w:val="dotted" w:sz="4" w:space="24" w:color="008A7A" w:shadow="1"/>
        <w:right w:val="dotted" w:sz="4" w:space="24" w:color="008A7A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3D5"/>
    <w:multiLevelType w:val="hybridMultilevel"/>
    <w:tmpl w:val="0D52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31E"/>
    <w:multiLevelType w:val="hybridMultilevel"/>
    <w:tmpl w:val="897A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C"/>
    <w:rsid w:val="001903BE"/>
    <w:rsid w:val="001A28F1"/>
    <w:rsid w:val="002246DD"/>
    <w:rsid w:val="002508D1"/>
    <w:rsid w:val="00292E2B"/>
    <w:rsid w:val="002E7C4D"/>
    <w:rsid w:val="00341E7A"/>
    <w:rsid w:val="003F4849"/>
    <w:rsid w:val="0044564F"/>
    <w:rsid w:val="004843FD"/>
    <w:rsid w:val="004D0F8A"/>
    <w:rsid w:val="00501209"/>
    <w:rsid w:val="00573388"/>
    <w:rsid w:val="00605114"/>
    <w:rsid w:val="0061058E"/>
    <w:rsid w:val="006A12E5"/>
    <w:rsid w:val="00705F5E"/>
    <w:rsid w:val="00775534"/>
    <w:rsid w:val="007A78EF"/>
    <w:rsid w:val="007B7506"/>
    <w:rsid w:val="007D5A7F"/>
    <w:rsid w:val="0081194C"/>
    <w:rsid w:val="00857493"/>
    <w:rsid w:val="00892C94"/>
    <w:rsid w:val="008D5DB7"/>
    <w:rsid w:val="009641B6"/>
    <w:rsid w:val="00A86228"/>
    <w:rsid w:val="00AC57FA"/>
    <w:rsid w:val="00B72B8B"/>
    <w:rsid w:val="00BF1A0A"/>
    <w:rsid w:val="00C21BC9"/>
    <w:rsid w:val="00CB1896"/>
    <w:rsid w:val="00CB2F33"/>
    <w:rsid w:val="00CB3DEC"/>
    <w:rsid w:val="00CC7E59"/>
    <w:rsid w:val="00D16FF7"/>
    <w:rsid w:val="00D771AC"/>
    <w:rsid w:val="00D8692E"/>
    <w:rsid w:val="00DA2191"/>
    <w:rsid w:val="00E12CD4"/>
    <w:rsid w:val="00E41176"/>
    <w:rsid w:val="00E841AB"/>
    <w:rsid w:val="00ED4AC6"/>
    <w:rsid w:val="00F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9EC1-ABB0-4629-873A-7A63AA9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Simnick</dc:creator>
  <cp:keywords/>
  <dc:description/>
  <cp:lastModifiedBy>Jeanine Simnick</cp:lastModifiedBy>
  <cp:revision>2</cp:revision>
  <dcterms:created xsi:type="dcterms:W3CDTF">2020-08-10T17:38:00Z</dcterms:created>
  <dcterms:modified xsi:type="dcterms:W3CDTF">2020-08-10T17:38:00Z</dcterms:modified>
</cp:coreProperties>
</file>