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EA6C8" w14:textId="3112C034" w:rsidR="00E83FB5" w:rsidRPr="00DB606A" w:rsidRDefault="00DB606A" w:rsidP="00E83FB5">
      <w:pPr>
        <w:pStyle w:val="Default"/>
        <w:jc w:val="center"/>
        <w:rPr>
          <w:sz w:val="36"/>
          <w:szCs w:val="28"/>
        </w:rPr>
      </w:pPr>
      <w:r w:rsidRPr="00DB606A">
        <w:rPr>
          <w:b/>
          <w:bCs/>
          <w:sz w:val="36"/>
          <w:szCs w:val="28"/>
        </w:rPr>
        <w:t>Giving Day Gift Counting Policy</w:t>
      </w:r>
    </w:p>
    <w:p w14:paraId="6761213E" w14:textId="13E48A17" w:rsidR="00E83FB5" w:rsidRPr="00DB606A" w:rsidRDefault="00DB606A" w:rsidP="00E83FB5">
      <w:pPr>
        <w:pStyle w:val="Default"/>
        <w:jc w:val="center"/>
        <w:rPr>
          <w:b/>
          <w:bCs/>
          <w:szCs w:val="28"/>
        </w:rPr>
      </w:pPr>
      <w:r w:rsidRPr="00DB606A">
        <w:rPr>
          <w:b/>
          <w:bCs/>
          <w:szCs w:val="28"/>
        </w:rPr>
        <w:t xml:space="preserve">Last updated: </w:t>
      </w:r>
      <w:r w:rsidR="00CD0120">
        <w:rPr>
          <w:b/>
          <w:bCs/>
          <w:szCs w:val="28"/>
        </w:rPr>
        <w:t>3.4</w:t>
      </w:r>
      <w:r w:rsidRPr="00DB606A">
        <w:rPr>
          <w:b/>
          <w:bCs/>
          <w:szCs w:val="28"/>
        </w:rPr>
        <w:t>.2020</w:t>
      </w:r>
    </w:p>
    <w:p w14:paraId="14453885" w14:textId="77777777" w:rsidR="00DB606A" w:rsidRPr="00DB606A" w:rsidRDefault="00DB606A" w:rsidP="00E83FB5">
      <w:pPr>
        <w:pStyle w:val="Default"/>
        <w:jc w:val="center"/>
        <w:rPr>
          <w:szCs w:val="28"/>
        </w:rPr>
      </w:pPr>
      <w:r w:rsidRPr="00DB606A">
        <w:rPr>
          <w:b/>
          <w:bCs/>
          <w:szCs w:val="28"/>
        </w:rPr>
        <w:t>Source: Annual Giving and Gift Processing</w:t>
      </w:r>
    </w:p>
    <w:p w14:paraId="3E95F67F" w14:textId="77777777" w:rsidR="00D87D97" w:rsidRDefault="00D87D97" w:rsidP="00E83FB5">
      <w:pPr>
        <w:rPr>
          <w:b/>
          <w:sz w:val="24"/>
        </w:rPr>
      </w:pPr>
    </w:p>
    <w:p w14:paraId="1A1E381C" w14:textId="77777777" w:rsidR="0085295B" w:rsidRDefault="0085295B" w:rsidP="00E83FB5">
      <w:pPr>
        <w:rPr>
          <w:b/>
          <w:sz w:val="24"/>
        </w:rPr>
      </w:pPr>
    </w:p>
    <w:p w14:paraId="145B5913" w14:textId="3BF0B29F" w:rsidR="00DB606A" w:rsidRPr="00DB606A" w:rsidRDefault="00DB606A" w:rsidP="00DB606A">
      <w:pPr>
        <w:rPr>
          <w:b/>
          <w:sz w:val="28"/>
        </w:rPr>
      </w:pPr>
      <w:r>
        <w:rPr>
          <w:b/>
          <w:sz w:val="28"/>
        </w:rPr>
        <w:t>Timeline</w:t>
      </w:r>
      <w:r w:rsidR="0085295B">
        <w:rPr>
          <w:b/>
          <w:sz w:val="28"/>
        </w:rPr>
        <w:t xml:space="preserve"> of </w:t>
      </w:r>
      <w:r w:rsidR="003238A0">
        <w:rPr>
          <w:b/>
          <w:sz w:val="28"/>
        </w:rPr>
        <w:t xml:space="preserve">Counting </w:t>
      </w:r>
      <w:r w:rsidR="0085295B">
        <w:rPr>
          <w:b/>
          <w:sz w:val="28"/>
        </w:rPr>
        <w:t xml:space="preserve">Gifts </w:t>
      </w:r>
    </w:p>
    <w:p w14:paraId="0F74EBA6" w14:textId="77777777" w:rsidR="00DB606A" w:rsidRDefault="00DB606A" w:rsidP="00E83FB5">
      <w:pPr>
        <w:rPr>
          <w:sz w:val="24"/>
        </w:rPr>
      </w:pPr>
    </w:p>
    <w:p w14:paraId="1380E632" w14:textId="4FC98906" w:rsidR="00DB606A" w:rsidRPr="00DB606A" w:rsidRDefault="009C600D" w:rsidP="00E83FB5">
      <w:pPr>
        <w:rPr>
          <w:sz w:val="24"/>
        </w:rPr>
      </w:pPr>
      <w:r>
        <w:rPr>
          <w:sz w:val="24"/>
        </w:rPr>
        <w:t>Gifts made from</w:t>
      </w:r>
      <w:r w:rsidR="00AF3A39">
        <w:rPr>
          <w:sz w:val="24"/>
        </w:rPr>
        <w:t xml:space="preserve"> 6 pm the day before </w:t>
      </w:r>
      <w:commentRangeStart w:id="0"/>
      <w:r w:rsidR="00AF3A39" w:rsidRPr="000950B5">
        <w:rPr>
          <w:sz w:val="24"/>
        </w:rPr>
        <w:t>through</w:t>
      </w:r>
      <w:commentRangeEnd w:id="0"/>
      <w:r w:rsidR="00AF3A39" w:rsidRPr="000950B5">
        <w:rPr>
          <w:rStyle w:val="CommentReference"/>
        </w:rPr>
        <w:commentReference w:id="0"/>
      </w:r>
      <w:r w:rsidRPr="000950B5">
        <w:rPr>
          <w:sz w:val="24"/>
        </w:rPr>
        <w:t xml:space="preserve"> </w:t>
      </w:r>
      <w:r w:rsidR="00DE5EE0" w:rsidRPr="000950B5">
        <w:rPr>
          <w:sz w:val="24"/>
        </w:rPr>
        <w:t xml:space="preserve">noon </w:t>
      </w:r>
      <w:r w:rsidRPr="000950B5">
        <w:rPr>
          <w:sz w:val="24"/>
        </w:rPr>
        <w:t xml:space="preserve">EST (the day </w:t>
      </w:r>
      <w:r w:rsidR="00DE5EE0" w:rsidRPr="000950B5">
        <w:rPr>
          <w:sz w:val="24"/>
        </w:rPr>
        <w:t xml:space="preserve">after </w:t>
      </w:r>
      <w:r w:rsidRPr="000950B5">
        <w:rPr>
          <w:sz w:val="24"/>
        </w:rPr>
        <w:t>Giving Day)</w:t>
      </w:r>
      <w:r>
        <w:rPr>
          <w:sz w:val="24"/>
        </w:rPr>
        <w:t xml:space="preserve"> count towards Giving Day totals. </w:t>
      </w:r>
      <w:r w:rsidR="00CC442B">
        <w:rPr>
          <w:sz w:val="24"/>
        </w:rPr>
        <w:t xml:space="preserve">Giving Day gifts prior to the day of the event and made </w:t>
      </w:r>
      <w:r>
        <w:rPr>
          <w:sz w:val="24"/>
        </w:rPr>
        <w:t>via mail</w:t>
      </w:r>
      <w:r w:rsidR="00BC1BBF">
        <w:rPr>
          <w:sz w:val="24"/>
        </w:rPr>
        <w:t xml:space="preserve">, </w:t>
      </w:r>
      <w:r>
        <w:rPr>
          <w:sz w:val="24"/>
        </w:rPr>
        <w:t>personal solicitation</w:t>
      </w:r>
      <w:r w:rsidR="00BC1BBF">
        <w:rPr>
          <w:sz w:val="24"/>
        </w:rPr>
        <w:t xml:space="preserve"> or other accepted methods of giving</w:t>
      </w:r>
      <w:r>
        <w:rPr>
          <w:sz w:val="24"/>
        </w:rPr>
        <w:t xml:space="preserve"> </w:t>
      </w:r>
      <w:r w:rsidR="00CC442B">
        <w:rPr>
          <w:sz w:val="24"/>
        </w:rPr>
        <w:t xml:space="preserve">will count towards </w:t>
      </w:r>
      <w:r>
        <w:rPr>
          <w:sz w:val="24"/>
        </w:rPr>
        <w:t xml:space="preserve">Giving Day if the Office of Gift Processing is notified </w:t>
      </w:r>
      <w:r w:rsidR="00675CDE">
        <w:rPr>
          <w:sz w:val="24"/>
        </w:rPr>
        <w:t>and intent is documented (reply device, check memo, commitment form, appeal code, etc.).</w:t>
      </w:r>
      <w:r>
        <w:rPr>
          <w:sz w:val="24"/>
        </w:rPr>
        <w:t xml:space="preserve"> </w:t>
      </w:r>
    </w:p>
    <w:p w14:paraId="530BCA0E" w14:textId="77777777" w:rsidR="00DB606A" w:rsidRDefault="00DB606A" w:rsidP="00E83FB5">
      <w:pPr>
        <w:rPr>
          <w:b/>
          <w:sz w:val="28"/>
        </w:rPr>
      </w:pPr>
    </w:p>
    <w:p w14:paraId="06535647" w14:textId="7B2F2885" w:rsidR="00FE1D86" w:rsidRPr="00DB606A" w:rsidRDefault="0085295B" w:rsidP="00E83FB5">
      <w:pPr>
        <w:rPr>
          <w:b/>
          <w:sz w:val="28"/>
        </w:rPr>
      </w:pPr>
      <w:r>
        <w:rPr>
          <w:b/>
          <w:sz w:val="28"/>
        </w:rPr>
        <w:t>Types of Gifts</w:t>
      </w:r>
      <w:r w:rsidR="003238A0">
        <w:rPr>
          <w:b/>
          <w:sz w:val="28"/>
        </w:rPr>
        <w:t xml:space="preserve"> Counted</w:t>
      </w:r>
    </w:p>
    <w:p w14:paraId="596A5DBE" w14:textId="77777777" w:rsidR="00E1756C" w:rsidRDefault="00851121" w:rsidP="00E1756C">
      <w:pPr>
        <w:pStyle w:val="ListParagraph"/>
        <w:numPr>
          <w:ilvl w:val="0"/>
          <w:numId w:val="16"/>
        </w:numPr>
        <w:rPr>
          <w:sz w:val="24"/>
        </w:rPr>
      </w:pPr>
      <w:r w:rsidRPr="00851121">
        <w:rPr>
          <w:sz w:val="24"/>
        </w:rPr>
        <w:t xml:space="preserve">CASH </w:t>
      </w:r>
      <w:r>
        <w:rPr>
          <w:sz w:val="24"/>
        </w:rPr>
        <w:t>gifts and p</w:t>
      </w:r>
      <w:r w:rsidRPr="00851121">
        <w:rPr>
          <w:sz w:val="24"/>
        </w:rPr>
        <w:t>ledges</w:t>
      </w:r>
      <w:r>
        <w:rPr>
          <w:sz w:val="24"/>
        </w:rPr>
        <w:t xml:space="preserve"> towards any WSU S/C/U or program, including WDET. </w:t>
      </w:r>
    </w:p>
    <w:p w14:paraId="66DBAFE0" w14:textId="3E799588" w:rsidR="00851121" w:rsidRPr="00E1756C" w:rsidRDefault="00851121" w:rsidP="00E1756C">
      <w:pPr>
        <w:pStyle w:val="ListParagraph"/>
        <w:numPr>
          <w:ilvl w:val="0"/>
          <w:numId w:val="16"/>
        </w:numPr>
        <w:rPr>
          <w:sz w:val="24"/>
        </w:rPr>
      </w:pPr>
      <w:r w:rsidRPr="00E1756C">
        <w:rPr>
          <w:sz w:val="24"/>
        </w:rPr>
        <w:t xml:space="preserve">Major gift </w:t>
      </w:r>
      <w:r w:rsidR="003E55B0" w:rsidRPr="00E1756C">
        <w:rPr>
          <w:sz w:val="24"/>
        </w:rPr>
        <w:t xml:space="preserve">commitments </w:t>
      </w:r>
      <w:r w:rsidR="00AF3A39" w:rsidRPr="00E1756C">
        <w:rPr>
          <w:sz w:val="24"/>
        </w:rPr>
        <w:t xml:space="preserve">received on Giving Day. Major gifts received prior to Giving Day may be counted as part of a match campaign or as an incentive for other donors to give, provided the donor has agreed. </w:t>
      </w:r>
      <w:r w:rsidR="003C52D7" w:rsidRPr="00E1756C">
        <w:rPr>
          <w:sz w:val="24"/>
        </w:rPr>
        <w:t xml:space="preserve">These requests are typically accepted once “save the date promotions” are made known to the public. </w:t>
      </w:r>
    </w:p>
    <w:p w14:paraId="14F723D5" w14:textId="1BF1551D" w:rsidR="003E55B0" w:rsidRDefault="003E55B0" w:rsidP="00851121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Planned gift commitments documented</w:t>
      </w:r>
      <w:r w:rsidR="00AF3A39">
        <w:rPr>
          <w:sz w:val="24"/>
        </w:rPr>
        <w:t xml:space="preserve"> and booked on Giving Day</w:t>
      </w:r>
      <w:r>
        <w:rPr>
          <w:sz w:val="24"/>
        </w:rPr>
        <w:t xml:space="preserve">; </w:t>
      </w:r>
      <w:r w:rsidR="00E1756C" w:rsidRPr="0086589C">
        <w:rPr>
          <w:sz w:val="24"/>
        </w:rPr>
        <w:t>similarly to major gifts, we will count early planned gift commitments towards Giving Day if the donor has made it clear that was his or her intent.</w:t>
      </w:r>
      <w:r w:rsidR="00E1756C">
        <w:rPr>
          <w:sz w:val="24"/>
        </w:rPr>
        <w:t xml:space="preserve"> However, we do not count planned gift payments received for previously booked pledges</w:t>
      </w:r>
      <w:r w:rsidR="00E1756C" w:rsidRPr="00C15311">
        <w:rPr>
          <w:sz w:val="24"/>
        </w:rPr>
        <w:t>.</w:t>
      </w:r>
    </w:p>
    <w:p w14:paraId="218D662C" w14:textId="5BC49B43" w:rsidR="00851121" w:rsidRDefault="00851121" w:rsidP="00851121">
      <w:pPr>
        <w:pStyle w:val="ListParagraph"/>
        <w:numPr>
          <w:ilvl w:val="0"/>
          <w:numId w:val="16"/>
        </w:numPr>
        <w:rPr>
          <w:sz w:val="24"/>
        </w:rPr>
      </w:pPr>
      <w:r w:rsidRPr="00851121">
        <w:rPr>
          <w:sz w:val="24"/>
        </w:rPr>
        <w:t xml:space="preserve">Outstanding RNL pledge payments; however, we will not </w:t>
      </w:r>
      <w:r w:rsidR="00AF3A39">
        <w:rPr>
          <w:sz w:val="24"/>
        </w:rPr>
        <w:t>count payments made</w:t>
      </w:r>
      <w:r w:rsidRPr="00851121">
        <w:rPr>
          <w:sz w:val="24"/>
        </w:rPr>
        <w:t xml:space="preserve"> on a 2019 Giving Day pledge.</w:t>
      </w:r>
    </w:p>
    <w:p w14:paraId="48957077" w14:textId="77777777" w:rsidR="00851121" w:rsidRDefault="00851121" w:rsidP="00851121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CASH gifts from pop-up events</w:t>
      </w:r>
      <w:r w:rsidR="00861A40">
        <w:rPr>
          <w:sz w:val="24"/>
        </w:rPr>
        <w:t xml:space="preserve"> held on Giving Day</w:t>
      </w:r>
    </w:p>
    <w:p w14:paraId="28084DD6" w14:textId="77777777" w:rsidR="003E55B0" w:rsidRDefault="00851121" w:rsidP="003E55B0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Gifts made at the Presidential event held the night before</w:t>
      </w:r>
      <w:r w:rsidR="003E55B0">
        <w:rPr>
          <w:sz w:val="24"/>
        </w:rPr>
        <w:t xml:space="preserve">; </w:t>
      </w:r>
    </w:p>
    <w:p w14:paraId="619EE4F4" w14:textId="77777777" w:rsidR="00851121" w:rsidRDefault="00E11D2D" w:rsidP="003E55B0">
      <w:pPr>
        <w:pStyle w:val="ListParagraph"/>
        <w:numPr>
          <w:ilvl w:val="1"/>
          <w:numId w:val="16"/>
        </w:numPr>
        <w:rPr>
          <w:sz w:val="24"/>
        </w:rPr>
      </w:pPr>
      <w:r>
        <w:rPr>
          <w:sz w:val="24"/>
        </w:rPr>
        <w:t>Unique</w:t>
      </w:r>
      <w:r w:rsidR="003E55B0">
        <w:rPr>
          <w:sz w:val="24"/>
        </w:rPr>
        <w:t xml:space="preserve"> timeline: g</w:t>
      </w:r>
      <w:r w:rsidR="003E55B0" w:rsidRPr="003E55B0">
        <w:rPr>
          <w:sz w:val="24"/>
        </w:rPr>
        <w:t>ifts accepted as e</w:t>
      </w:r>
      <w:r w:rsidR="00851121" w:rsidRPr="003E55B0">
        <w:rPr>
          <w:sz w:val="24"/>
        </w:rPr>
        <w:t>arly as noon</w:t>
      </w:r>
      <w:r w:rsidR="003E55B0" w:rsidRPr="003E55B0">
        <w:rPr>
          <w:sz w:val="24"/>
        </w:rPr>
        <w:t xml:space="preserve"> the day before</w:t>
      </w:r>
      <w:r w:rsidR="003E55B0">
        <w:rPr>
          <w:sz w:val="24"/>
        </w:rPr>
        <w:t xml:space="preserve"> Giving Day</w:t>
      </w:r>
      <w:r w:rsidR="003E55B0" w:rsidRPr="003E55B0">
        <w:rPr>
          <w:sz w:val="24"/>
        </w:rPr>
        <w:t>.</w:t>
      </w:r>
      <w:r w:rsidR="00861A40">
        <w:rPr>
          <w:sz w:val="24"/>
        </w:rPr>
        <w:t xml:space="preserve"> </w:t>
      </w:r>
    </w:p>
    <w:p w14:paraId="65E31850" w14:textId="246EE62A" w:rsidR="00BA4079" w:rsidRDefault="003E0115" w:rsidP="00BA4079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New payroll deduction </w:t>
      </w:r>
      <w:r w:rsidR="00CD0120">
        <w:rPr>
          <w:sz w:val="24"/>
        </w:rPr>
        <w:t xml:space="preserve">or recurring gift </w:t>
      </w:r>
      <w:r w:rsidR="001C401E" w:rsidRPr="000950B5">
        <w:rPr>
          <w:sz w:val="24"/>
        </w:rPr>
        <w:t>commitments</w:t>
      </w:r>
      <w:r w:rsidR="00CD0120" w:rsidRPr="000950B5">
        <w:rPr>
          <w:sz w:val="24"/>
        </w:rPr>
        <w:t xml:space="preserve">; the amount calculated as the </w:t>
      </w:r>
      <w:r w:rsidR="00DE5EE0" w:rsidRPr="000950B5">
        <w:rPr>
          <w:sz w:val="24"/>
        </w:rPr>
        <w:t>Giving Day gift is what the donor specifies on the commitment form (printed or online).</w:t>
      </w:r>
    </w:p>
    <w:p w14:paraId="5428AB86" w14:textId="77777777" w:rsidR="003E55B0" w:rsidRPr="00BA4079" w:rsidRDefault="002D6B35" w:rsidP="00BA4079">
      <w:pPr>
        <w:pStyle w:val="ListParagraph"/>
        <w:numPr>
          <w:ilvl w:val="0"/>
          <w:numId w:val="16"/>
        </w:numPr>
        <w:rPr>
          <w:sz w:val="24"/>
        </w:rPr>
      </w:pPr>
      <w:r w:rsidRPr="00BA4079">
        <w:rPr>
          <w:sz w:val="24"/>
        </w:rPr>
        <w:t>Organization/foundation gifts that were intended for Giving Day and approved by CFR</w:t>
      </w:r>
    </w:p>
    <w:p w14:paraId="37491430" w14:textId="77777777" w:rsidR="00E11D2D" w:rsidRDefault="00E11D2D" w:rsidP="00851121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Gift Processing Lockbox</w:t>
      </w:r>
    </w:p>
    <w:p w14:paraId="32E12B92" w14:textId="1D39D847" w:rsidR="003E0115" w:rsidRPr="003C52D7" w:rsidRDefault="00E11D2D" w:rsidP="003C52D7">
      <w:pPr>
        <w:pStyle w:val="ListParagraph"/>
        <w:numPr>
          <w:ilvl w:val="1"/>
          <w:numId w:val="16"/>
        </w:numPr>
        <w:rPr>
          <w:sz w:val="24"/>
        </w:rPr>
      </w:pPr>
      <w:r>
        <w:rPr>
          <w:sz w:val="24"/>
        </w:rPr>
        <w:t xml:space="preserve">Unique timeline: </w:t>
      </w:r>
      <w:r w:rsidR="003E0115">
        <w:rPr>
          <w:sz w:val="24"/>
        </w:rPr>
        <w:t xml:space="preserve">count gifts in the lockbox the </w:t>
      </w:r>
      <w:r w:rsidR="00BA4079">
        <w:rPr>
          <w:sz w:val="24"/>
        </w:rPr>
        <w:t>AM</w:t>
      </w:r>
      <w:r w:rsidR="003E0115">
        <w:rPr>
          <w:sz w:val="24"/>
        </w:rPr>
        <w:t xml:space="preserve"> of Giving Day and the day after (AM)</w:t>
      </w:r>
    </w:p>
    <w:p w14:paraId="0351493F" w14:textId="77777777" w:rsidR="00851121" w:rsidRDefault="00851121" w:rsidP="0011688D">
      <w:pPr>
        <w:rPr>
          <w:sz w:val="24"/>
        </w:rPr>
      </w:pPr>
    </w:p>
    <w:p w14:paraId="6073BB1E" w14:textId="20853E32" w:rsidR="00851121" w:rsidRPr="00BA4079" w:rsidRDefault="00851121" w:rsidP="0011688D">
      <w:pPr>
        <w:rPr>
          <w:i/>
          <w:sz w:val="24"/>
        </w:rPr>
      </w:pPr>
      <w:r w:rsidRPr="00BA4079">
        <w:rPr>
          <w:i/>
          <w:sz w:val="24"/>
        </w:rPr>
        <w:t xml:space="preserve">Not </w:t>
      </w:r>
      <w:r w:rsidR="00AF3A39">
        <w:rPr>
          <w:i/>
          <w:sz w:val="24"/>
        </w:rPr>
        <w:t>counted</w:t>
      </w:r>
      <w:r w:rsidRPr="00BA4079">
        <w:rPr>
          <w:i/>
          <w:sz w:val="24"/>
        </w:rPr>
        <w:t xml:space="preserve">: </w:t>
      </w:r>
    </w:p>
    <w:p w14:paraId="52DE67CF" w14:textId="77777777" w:rsidR="00851121" w:rsidRDefault="00851121" w:rsidP="0011688D">
      <w:pPr>
        <w:rPr>
          <w:sz w:val="24"/>
        </w:rPr>
      </w:pPr>
    </w:p>
    <w:p w14:paraId="39414EFC" w14:textId="63FA546E" w:rsidR="00851121" w:rsidRPr="0086589C" w:rsidRDefault="00851121" w:rsidP="00851121">
      <w:pPr>
        <w:pStyle w:val="ListParagraph"/>
        <w:numPr>
          <w:ilvl w:val="0"/>
          <w:numId w:val="15"/>
        </w:numPr>
        <w:rPr>
          <w:sz w:val="24"/>
        </w:rPr>
      </w:pPr>
      <w:r w:rsidRPr="00851121">
        <w:rPr>
          <w:sz w:val="24"/>
        </w:rPr>
        <w:t>Payments on major gift pledges</w:t>
      </w:r>
      <w:r w:rsidR="001C401E">
        <w:rPr>
          <w:sz w:val="24"/>
        </w:rPr>
        <w:t xml:space="preserve"> that were booked </w:t>
      </w:r>
      <w:r w:rsidR="001C401E" w:rsidRPr="0086589C">
        <w:rPr>
          <w:sz w:val="24"/>
        </w:rPr>
        <w:t>prior to Giving Day.</w:t>
      </w:r>
    </w:p>
    <w:p w14:paraId="197FEAC6" w14:textId="3C4F4E58" w:rsidR="00851121" w:rsidRPr="0086589C" w:rsidRDefault="00AF3A39" w:rsidP="00851121">
      <w:pPr>
        <w:pStyle w:val="ListParagraph"/>
        <w:numPr>
          <w:ilvl w:val="0"/>
          <w:numId w:val="15"/>
        </w:numPr>
        <w:rPr>
          <w:sz w:val="24"/>
        </w:rPr>
      </w:pPr>
      <w:r w:rsidRPr="0086589C">
        <w:rPr>
          <w:sz w:val="24"/>
        </w:rPr>
        <w:t>Company matching gifts (Corporate gifts matching an employee’s gift)</w:t>
      </w:r>
      <w:r w:rsidR="001C401E" w:rsidRPr="0086589C">
        <w:rPr>
          <w:sz w:val="24"/>
        </w:rPr>
        <w:t>; however, we do count a company match</w:t>
      </w:r>
      <w:r w:rsidR="003C52D7" w:rsidRPr="0086589C">
        <w:rPr>
          <w:sz w:val="24"/>
        </w:rPr>
        <w:t>ed</w:t>
      </w:r>
      <w:r w:rsidR="001C401E" w:rsidRPr="0086589C">
        <w:rPr>
          <w:sz w:val="24"/>
        </w:rPr>
        <w:t xml:space="preserve"> gift if the employer made it known to us it was for Giving Day.   </w:t>
      </w:r>
    </w:p>
    <w:p w14:paraId="5B5E5D82" w14:textId="4030C0AB" w:rsidR="003E0115" w:rsidRDefault="003E0115" w:rsidP="0085112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Recurring gifts, like faculty/staff payroll deduction gifts or automatic CC payment</w:t>
      </w:r>
      <w:r w:rsidRPr="0086589C">
        <w:rPr>
          <w:sz w:val="24"/>
        </w:rPr>
        <w:t xml:space="preserve">s that </w:t>
      </w:r>
      <w:r w:rsidR="001C401E" w:rsidRPr="0086589C">
        <w:rPr>
          <w:sz w:val="24"/>
        </w:rPr>
        <w:t>were committed prior to Giving Day</w:t>
      </w:r>
      <w:r w:rsidR="001C401E">
        <w:rPr>
          <w:sz w:val="24"/>
        </w:rPr>
        <w:t xml:space="preserve"> and </w:t>
      </w:r>
      <w:r>
        <w:rPr>
          <w:sz w:val="24"/>
        </w:rPr>
        <w:t xml:space="preserve">happen to process </w:t>
      </w:r>
      <w:r w:rsidR="00BA4079">
        <w:rPr>
          <w:sz w:val="24"/>
        </w:rPr>
        <w:t>on the same day as Giving Day.</w:t>
      </w:r>
    </w:p>
    <w:p w14:paraId="58561816" w14:textId="77777777" w:rsidR="003E0115" w:rsidRPr="0086589C" w:rsidRDefault="003E0115" w:rsidP="0011688D">
      <w:pPr>
        <w:rPr>
          <w:b/>
          <w:sz w:val="28"/>
        </w:rPr>
      </w:pPr>
      <w:r w:rsidRPr="0086589C">
        <w:rPr>
          <w:b/>
          <w:sz w:val="28"/>
        </w:rPr>
        <w:lastRenderedPageBreak/>
        <w:t>Accepted Methods of Giving</w:t>
      </w:r>
    </w:p>
    <w:p w14:paraId="79E6ED6A" w14:textId="77777777" w:rsidR="003E0115" w:rsidRPr="0086589C" w:rsidRDefault="003E0115" w:rsidP="003E0115">
      <w:pPr>
        <w:pStyle w:val="ListParagraph"/>
        <w:numPr>
          <w:ilvl w:val="0"/>
          <w:numId w:val="17"/>
        </w:numPr>
        <w:rPr>
          <w:sz w:val="24"/>
        </w:rPr>
      </w:pPr>
      <w:proofErr w:type="spellStart"/>
      <w:r w:rsidRPr="0086589C">
        <w:rPr>
          <w:sz w:val="24"/>
        </w:rPr>
        <w:t>Scalefunder</w:t>
      </w:r>
      <w:proofErr w:type="spellEnd"/>
      <w:r w:rsidRPr="0086589C">
        <w:rPr>
          <w:sz w:val="24"/>
        </w:rPr>
        <w:t xml:space="preserve"> (immediate </w:t>
      </w:r>
      <w:r w:rsidR="000B1D67" w:rsidRPr="0086589C">
        <w:rPr>
          <w:sz w:val="24"/>
        </w:rPr>
        <w:t>outcomes</w:t>
      </w:r>
      <w:r w:rsidRPr="0086589C">
        <w:rPr>
          <w:sz w:val="24"/>
        </w:rPr>
        <w:t xml:space="preserve"> available)</w:t>
      </w:r>
    </w:p>
    <w:p w14:paraId="2B2EEB27" w14:textId="77777777" w:rsidR="003E0115" w:rsidRPr="0086589C" w:rsidRDefault="003E0115" w:rsidP="003E0115">
      <w:pPr>
        <w:pStyle w:val="ListParagraph"/>
        <w:numPr>
          <w:ilvl w:val="0"/>
          <w:numId w:val="17"/>
        </w:numPr>
        <w:rPr>
          <w:sz w:val="24"/>
        </w:rPr>
      </w:pPr>
      <w:r w:rsidRPr="0086589C">
        <w:rPr>
          <w:sz w:val="24"/>
        </w:rPr>
        <w:t xml:space="preserve">All WSU </w:t>
      </w:r>
      <w:proofErr w:type="spellStart"/>
      <w:r w:rsidRPr="0086589C">
        <w:rPr>
          <w:sz w:val="24"/>
        </w:rPr>
        <w:t>Idonate</w:t>
      </w:r>
      <w:proofErr w:type="spellEnd"/>
      <w:r w:rsidRPr="0086589C">
        <w:rPr>
          <w:sz w:val="24"/>
        </w:rPr>
        <w:t xml:space="preserve"> </w:t>
      </w:r>
      <w:r w:rsidR="000B1D67" w:rsidRPr="0086589C">
        <w:rPr>
          <w:sz w:val="24"/>
        </w:rPr>
        <w:t>giving forms (immediate outcomes</w:t>
      </w:r>
      <w:r w:rsidRPr="0086589C">
        <w:rPr>
          <w:sz w:val="24"/>
        </w:rPr>
        <w:t xml:space="preserve"> available)</w:t>
      </w:r>
    </w:p>
    <w:p w14:paraId="42000385" w14:textId="77777777" w:rsidR="00BA4079" w:rsidRPr="0086589C" w:rsidRDefault="00BA4079" w:rsidP="003E0115">
      <w:pPr>
        <w:pStyle w:val="ListParagraph"/>
        <w:numPr>
          <w:ilvl w:val="0"/>
          <w:numId w:val="17"/>
        </w:numPr>
        <w:rPr>
          <w:sz w:val="24"/>
        </w:rPr>
      </w:pPr>
      <w:r w:rsidRPr="0086589C">
        <w:rPr>
          <w:sz w:val="24"/>
        </w:rPr>
        <w:t xml:space="preserve">RNL/Call Center (immediate </w:t>
      </w:r>
      <w:r w:rsidR="000B1D67" w:rsidRPr="0086589C">
        <w:rPr>
          <w:sz w:val="24"/>
        </w:rPr>
        <w:t>outcomes</w:t>
      </w:r>
      <w:r w:rsidRPr="0086589C">
        <w:rPr>
          <w:sz w:val="24"/>
        </w:rPr>
        <w:t xml:space="preserve"> available)</w:t>
      </w:r>
    </w:p>
    <w:p w14:paraId="1593E2AE" w14:textId="0F855EC2" w:rsidR="00BA4079" w:rsidRPr="0086589C" w:rsidRDefault="0090176B" w:rsidP="003E0115">
      <w:pPr>
        <w:pStyle w:val="ListParagraph"/>
        <w:numPr>
          <w:ilvl w:val="0"/>
          <w:numId w:val="17"/>
        </w:numPr>
        <w:rPr>
          <w:sz w:val="24"/>
        </w:rPr>
      </w:pPr>
      <w:r w:rsidRPr="0086589C">
        <w:rPr>
          <w:sz w:val="24"/>
        </w:rPr>
        <w:t xml:space="preserve">Prior to Giving Day, gifts via mail are accepted </w:t>
      </w:r>
      <w:r w:rsidR="00BA4079" w:rsidRPr="0086589C">
        <w:rPr>
          <w:sz w:val="24"/>
        </w:rPr>
        <w:t>as long as it is noted on</w:t>
      </w:r>
      <w:r w:rsidR="003238A0" w:rsidRPr="0086589C">
        <w:rPr>
          <w:sz w:val="24"/>
        </w:rPr>
        <w:t xml:space="preserve"> the</w:t>
      </w:r>
      <w:r w:rsidR="00BA4079" w:rsidRPr="0086589C">
        <w:rPr>
          <w:sz w:val="24"/>
        </w:rPr>
        <w:t xml:space="preserve"> check or in</w:t>
      </w:r>
      <w:r w:rsidRPr="0086589C">
        <w:rPr>
          <w:sz w:val="24"/>
        </w:rPr>
        <w:t xml:space="preserve"> the</w:t>
      </w:r>
      <w:r w:rsidR="00BA4079" w:rsidRPr="0086589C">
        <w:rPr>
          <w:sz w:val="24"/>
        </w:rPr>
        <w:t xml:space="preserve"> reply device</w:t>
      </w:r>
      <w:r w:rsidRPr="0086589C">
        <w:rPr>
          <w:sz w:val="24"/>
        </w:rPr>
        <w:t xml:space="preserve"> the intent is</w:t>
      </w:r>
      <w:r w:rsidR="00BA4079" w:rsidRPr="0086589C">
        <w:rPr>
          <w:sz w:val="24"/>
        </w:rPr>
        <w:t xml:space="preserve"> “Giving Day”; these gifts </w:t>
      </w:r>
      <w:r w:rsidR="0085295B" w:rsidRPr="0086589C">
        <w:rPr>
          <w:sz w:val="24"/>
        </w:rPr>
        <w:t>must be postmarked no later than the date of Giving Day</w:t>
      </w:r>
      <w:r w:rsidR="000B1D67" w:rsidRPr="0086589C">
        <w:rPr>
          <w:sz w:val="24"/>
        </w:rPr>
        <w:t xml:space="preserve"> (gifts may take up to five days after the event to process)</w:t>
      </w:r>
      <w:r w:rsidRPr="0086589C">
        <w:rPr>
          <w:sz w:val="24"/>
        </w:rPr>
        <w:t xml:space="preserve"> </w:t>
      </w:r>
    </w:p>
    <w:p w14:paraId="656BED1F" w14:textId="77777777" w:rsidR="00BA4079" w:rsidRPr="0086589C" w:rsidRDefault="00BA4079" w:rsidP="003E0115">
      <w:pPr>
        <w:pStyle w:val="ListParagraph"/>
        <w:numPr>
          <w:ilvl w:val="0"/>
          <w:numId w:val="17"/>
        </w:numPr>
        <w:rPr>
          <w:sz w:val="24"/>
        </w:rPr>
      </w:pPr>
      <w:r w:rsidRPr="0086589C">
        <w:rPr>
          <w:sz w:val="24"/>
        </w:rPr>
        <w:t>Lockbox</w:t>
      </w:r>
      <w:r w:rsidR="000B1D67" w:rsidRPr="0086589C">
        <w:rPr>
          <w:sz w:val="24"/>
        </w:rPr>
        <w:t xml:space="preserve"> (gifts may take up to five days after the event to process)</w:t>
      </w:r>
    </w:p>
    <w:p w14:paraId="7874BC23" w14:textId="77777777" w:rsidR="00BA4079" w:rsidRPr="0086589C" w:rsidRDefault="00BA4079" w:rsidP="003E0115">
      <w:pPr>
        <w:pStyle w:val="ListParagraph"/>
        <w:numPr>
          <w:ilvl w:val="0"/>
          <w:numId w:val="17"/>
        </w:numPr>
        <w:rPr>
          <w:sz w:val="24"/>
        </w:rPr>
      </w:pPr>
      <w:r w:rsidRPr="0086589C">
        <w:rPr>
          <w:sz w:val="24"/>
        </w:rPr>
        <w:t>Gifts via stock, IRA’s and donor advised funds</w:t>
      </w:r>
      <w:r w:rsidR="000B1D67" w:rsidRPr="0086589C">
        <w:rPr>
          <w:sz w:val="24"/>
        </w:rPr>
        <w:t xml:space="preserve"> (gifts may take up to five days after the event to process)</w:t>
      </w:r>
    </w:p>
    <w:p w14:paraId="316290EA" w14:textId="77777777" w:rsidR="003E0115" w:rsidRPr="003E0115" w:rsidRDefault="003E0115" w:rsidP="0011688D">
      <w:pPr>
        <w:rPr>
          <w:sz w:val="24"/>
        </w:rPr>
      </w:pPr>
    </w:p>
    <w:p w14:paraId="2D5E20C6" w14:textId="77777777" w:rsidR="00DB606A" w:rsidRDefault="009C600D" w:rsidP="0011688D">
      <w:pPr>
        <w:rPr>
          <w:b/>
          <w:sz w:val="28"/>
        </w:rPr>
      </w:pPr>
      <w:r>
        <w:rPr>
          <w:b/>
          <w:sz w:val="28"/>
        </w:rPr>
        <w:t xml:space="preserve">Giving Day </w:t>
      </w:r>
      <w:r w:rsidR="00BA4079">
        <w:rPr>
          <w:b/>
          <w:sz w:val="28"/>
        </w:rPr>
        <w:t>Donor Calculations</w:t>
      </w:r>
    </w:p>
    <w:p w14:paraId="0F1C1583" w14:textId="77777777" w:rsidR="00BA4079" w:rsidRPr="00BA4079" w:rsidRDefault="002C6641" w:rsidP="00BA4079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Donor totals are based on </w:t>
      </w:r>
      <w:r w:rsidR="00863B16">
        <w:rPr>
          <w:sz w:val="24"/>
        </w:rPr>
        <w:t xml:space="preserve">individuals with </w:t>
      </w:r>
      <w:r>
        <w:rPr>
          <w:sz w:val="24"/>
        </w:rPr>
        <w:t>hard credit only, or soft credit on a gift from a third party entity, like a DAF.</w:t>
      </w:r>
      <w:r w:rsidR="00BA4079" w:rsidRPr="00BA4079">
        <w:rPr>
          <w:sz w:val="24"/>
        </w:rPr>
        <w:t xml:space="preserve"> </w:t>
      </w:r>
    </w:p>
    <w:p w14:paraId="4372044D" w14:textId="5912A004" w:rsidR="00BA4079" w:rsidRDefault="00BA4079" w:rsidP="00BA4079">
      <w:pPr>
        <w:pStyle w:val="ListParagraph"/>
        <w:numPr>
          <w:ilvl w:val="0"/>
          <w:numId w:val="18"/>
        </w:numPr>
        <w:rPr>
          <w:sz w:val="24"/>
        </w:rPr>
      </w:pPr>
      <w:r w:rsidRPr="00BA4079">
        <w:rPr>
          <w:sz w:val="24"/>
        </w:rPr>
        <w:t xml:space="preserve">First time donors are defined as </w:t>
      </w:r>
      <w:r w:rsidR="002C6641">
        <w:rPr>
          <w:sz w:val="24"/>
        </w:rPr>
        <w:t>a purely</w:t>
      </w:r>
      <w:r w:rsidRPr="00BA4079">
        <w:rPr>
          <w:sz w:val="24"/>
        </w:rPr>
        <w:t xml:space="preserve"> new </w:t>
      </w:r>
      <w:r w:rsidR="002C6641">
        <w:rPr>
          <w:sz w:val="24"/>
        </w:rPr>
        <w:t xml:space="preserve">donor to WSU </w:t>
      </w:r>
      <w:r w:rsidRPr="00BA4079">
        <w:rPr>
          <w:sz w:val="24"/>
        </w:rPr>
        <w:t xml:space="preserve">or </w:t>
      </w:r>
      <w:r w:rsidR="002C6641">
        <w:rPr>
          <w:sz w:val="24"/>
        </w:rPr>
        <w:t xml:space="preserve">someone who hasn’t </w:t>
      </w:r>
      <w:r w:rsidRPr="00BA4079">
        <w:rPr>
          <w:sz w:val="24"/>
        </w:rPr>
        <w:t xml:space="preserve">made a gift in the last 10 </w:t>
      </w:r>
      <w:r w:rsidR="002C6641">
        <w:rPr>
          <w:sz w:val="24"/>
        </w:rPr>
        <w:t xml:space="preserve">fiscal </w:t>
      </w:r>
      <w:r w:rsidRPr="00BA4079">
        <w:rPr>
          <w:sz w:val="24"/>
        </w:rPr>
        <w:t>years</w:t>
      </w:r>
      <w:r w:rsidR="002C6641">
        <w:rPr>
          <w:sz w:val="24"/>
        </w:rPr>
        <w:t xml:space="preserve"> to WSU</w:t>
      </w:r>
      <w:r w:rsidRPr="00BA4079">
        <w:rPr>
          <w:sz w:val="24"/>
        </w:rPr>
        <w:t>.</w:t>
      </w:r>
    </w:p>
    <w:p w14:paraId="3A91A9C5" w14:textId="4A6B7164" w:rsidR="0090176B" w:rsidRPr="0086589C" w:rsidRDefault="0090176B" w:rsidP="00BA4079">
      <w:pPr>
        <w:pStyle w:val="ListParagraph"/>
        <w:numPr>
          <w:ilvl w:val="0"/>
          <w:numId w:val="18"/>
        </w:numPr>
        <w:rPr>
          <w:sz w:val="24"/>
        </w:rPr>
      </w:pPr>
      <w:r w:rsidRPr="0086589C">
        <w:rPr>
          <w:sz w:val="24"/>
        </w:rPr>
        <w:t xml:space="preserve">Regarding alumni donor counts, calculations should include the spouse/partner who is also an alum, with or without a soft credit on the Giving Day gift. </w:t>
      </w:r>
    </w:p>
    <w:p w14:paraId="081BE348" w14:textId="77777777" w:rsidR="00DB606A" w:rsidRDefault="00DB606A" w:rsidP="0011688D">
      <w:pPr>
        <w:rPr>
          <w:b/>
          <w:sz w:val="24"/>
        </w:rPr>
      </w:pPr>
    </w:p>
    <w:p w14:paraId="30EAE473" w14:textId="77777777" w:rsidR="00861A40" w:rsidRDefault="00861A40" w:rsidP="00861A40">
      <w:pPr>
        <w:rPr>
          <w:b/>
          <w:sz w:val="28"/>
        </w:rPr>
      </w:pPr>
      <w:r>
        <w:rPr>
          <w:b/>
          <w:sz w:val="28"/>
        </w:rPr>
        <w:t xml:space="preserve">Tracking </w:t>
      </w:r>
      <w:r w:rsidR="009C600D">
        <w:rPr>
          <w:b/>
          <w:sz w:val="28"/>
        </w:rPr>
        <w:t xml:space="preserve">of Giving Day </w:t>
      </w:r>
      <w:r>
        <w:rPr>
          <w:b/>
          <w:sz w:val="28"/>
        </w:rPr>
        <w:t>Gifts</w:t>
      </w:r>
    </w:p>
    <w:p w14:paraId="3E4AD875" w14:textId="77777777" w:rsidR="002C6641" w:rsidRDefault="002C6641" w:rsidP="00861A40">
      <w:pPr>
        <w:rPr>
          <w:sz w:val="24"/>
        </w:rPr>
      </w:pPr>
    </w:p>
    <w:p w14:paraId="585EE1AF" w14:textId="77777777" w:rsidR="002C6641" w:rsidRDefault="002C6641" w:rsidP="00861A40">
      <w:pPr>
        <w:rPr>
          <w:sz w:val="24"/>
        </w:rPr>
      </w:pPr>
      <w:r w:rsidRPr="002C6641">
        <w:rPr>
          <w:sz w:val="24"/>
        </w:rPr>
        <w:t>All gifts will be tracked via a campaign code</w:t>
      </w:r>
      <w:r>
        <w:rPr>
          <w:sz w:val="24"/>
        </w:rPr>
        <w:t xml:space="preserve"> in Advance. The 2020 Giving Day campaign code is GD20</w:t>
      </w:r>
      <w:r w:rsidR="004739EF">
        <w:rPr>
          <w:sz w:val="24"/>
        </w:rPr>
        <w:t>.</w:t>
      </w:r>
    </w:p>
    <w:p w14:paraId="4B04E6F7" w14:textId="77777777" w:rsidR="002C6641" w:rsidRDefault="002C6641" w:rsidP="00861A40">
      <w:pPr>
        <w:rPr>
          <w:sz w:val="24"/>
        </w:rPr>
      </w:pPr>
    </w:p>
    <w:p w14:paraId="161D7D41" w14:textId="77777777" w:rsidR="004739EF" w:rsidRDefault="002C6641" w:rsidP="00861A40">
      <w:pPr>
        <w:rPr>
          <w:sz w:val="24"/>
        </w:rPr>
      </w:pPr>
      <w:r>
        <w:rPr>
          <w:sz w:val="24"/>
        </w:rPr>
        <w:t xml:space="preserve">Appeal codes </w:t>
      </w:r>
      <w:r w:rsidR="004739EF">
        <w:rPr>
          <w:sz w:val="24"/>
        </w:rPr>
        <w:t>are assigned on a case-by-case basis to monitor special donor populations. Most notably, a</w:t>
      </w:r>
      <w:r w:rsidR="00863B16">
        <w:rPr>
          <w:sz w:val="24"/>
        </w:rPr>
        <w:t xml:space="preserve">ppeal codes are used </w:t>
      </w:r>
      <w:r w:rsidR="00E87E35">
        <w:rPr>
          <w:sz w:val="24"/>
        </w:rPr>
        <w:t xml:space="preserve">to identify and track </w:t>
      </w:r>
      <w:r w:rsidR="004739EF">
        <w:rPr>
          <w:sz w:val="24"/>
        </w:rPr>
        <w:t xml:space="preserve">gifts </w:t>
      </w:r>
      <w:r w:rsidR="00E87E35">
        <w:rPr>
          <w:sz w:val="24"/>
        </w:rPr>
        <w:t xml:space="preserve">used </w:t>
      </w:r>
      <w:r w:rsidR="004739EF">
        <w:rPr>
          <w:sz w:val="24"/>
        </w:rPr>
        <w:t xml:space="preserve">for </w:t>
      </w:r>
      <w:r w:rsidR="00E87E35">
        <w:rPr>
          <w:sz w:val="24"/>
        </w:rPr>
        <w:t xml:space="preserve">S/C/U </w:t>
      </w:r>
      <w:r w:rsidR="004739EF">
        <w:rPr>
          <w:sz w:val="24"/>
        </w:rPr>
        <w:t>matches or challenges. Those current appeal codes are:</w:t>
      </w:r>
    </w:p>
    <w:p w14:paraId="09A7E3FB" w14:textId="6B5A5C2E" w:rsidR="0099119E" w:rsidRDefault="0099119E" w:rsidP="00861A40">
      <w:pPr>
        <w:rPr>
          <w:sz w:val="24"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2740"/>
        <w:gridCol w:w="5160"/>
      </w:tblGrid>
      <w:tr w:rsidR="0059220D" w:rsidRPr="0059220D" w14:paraId="15BBF86D" w14:textId="77777777" w:rsidTr="0059220D">
        <w:trPr>
          <w:trHeight w:val="3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E360" w14:textId="77777777" w:rsidR="0059220D" w:rsidRPr="0059220D" w:rsidRDefault="0059220D" w:rsidP="0059220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9220D">
              <w:rPr>
                <w:rFonts w:eastAsia="Times New Roman"/>
                <w:b/>
                <w:bCs/>
                <w:sz w:val="24"/>
                <w:szCs w:val="24"/>
              </w:rPr>
              <w:t>Appeal Code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A88C" w14:textId="77777777" w:rsidR="0059220D" w:rsidRPr="0059220D" w:rsidRDefault="0059220D" w:rsidP="0059220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220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Description (intent)</w:t>
            </w:r>
          </w:p>
        </w:tc>
      </w:tr>
      <w:tr w:rsidR="0059220D" w:rsidRPr="0059220D" w14:paraId="17194E1F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20D9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GD20MCH_ATH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7F7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Athletics</w:t>
            </w:r>
          </w:p>
        </w:tc>
      </w:tr>
      <w:tr w:rsidR="0059220D" w:rsidRPr="0059220D" w14:paraId="1F79BEE1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C85D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GD20MCH_BUS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6E1B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Business</w:t>
            </w:r>
          </w:p>
        </w:tc>
      </w:tr>
      <w:tr w:rsidR="0059220D" w:rsidRPr="0059220D" w14:paraId="0681E7FC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72A4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GD20MCH_CMP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BA32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Campus</w:t>
            </w:r>
          </w:p>
        </w:tc>
      </w:tr>
      <w:tr w:rsidR="0059220D" w:rsidRPr="0059220D" w14:paraId="074E2026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5D87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GD20MCH_CFPCA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D99C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CFPCA</w:t>
            </w:r>
          </w:p>
        </w:tc>
      </w:tr>
      <w:tr w:rsidR="0059220D" w:rsidRPr="0059220D" w14:paraId="3FF86E2C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98D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GD20MCH_CLAS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4574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CLAS</w:t>
            </w:r>
          </w:p>
        </w:tc>
      </w:tr>
      <w:tr w:rsidR="0059220D" w:rsidRPr="0059220D" w14:paraId="5AA7721C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71B7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GD20MCH_EDU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4A42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Education</w:t>
            </w:r>
          </w:p>
        </w:tc>
      </w:tr>
      <w:tr w:rsidR="0059220D" w:rsidRPr="0059220D" w14:paraId="39BA86FF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57C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GD20MCH_ENG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03AB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Engineering</w:t>
            </w:r>
          </w:p>
        </w:tc>
      </w:tr>
      <w:tr w:rsidR="0059220D" w:rsidRPr="0059220D" w14:paraId="042E9571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B03D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GD20MCH_EACPHS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F891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EACPHS</w:t>
            </w:r>
          </w:p>
        </w:tc>
      </w:tr>
      <w:tr w:rsidR="0059220D" w:rsidRPr="0059220D" w14:paraId="4AD93BBA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BD76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GD20MCH_GRDS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E31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Graduate School</w:t>
            </w:r>
          </w:p>
        </w:tc>
      </w:tr>
      <w:tr w:rsidR="0059220D" w:rsidRPr="0059220D" w14:paraId="3C29F190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24D1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GD20MCH_HRS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1C07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 xml:space="preserve">Giving Day FY20 Match Honors </w:t>
            </w:r>
          </w:p>
        </w:tc>
      </w:tr>
      <w:tr w:rsidR="0059220D" w:rsidRPr="0059220D" w14:paraId="7B90EEB3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03EB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GD20MCH_SIS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29B6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Information Sciences</w:t>
            </w:r>
          </w:p>
        </w:tc>
      </w:tr>
      <w:tr w:rsidR="0059220D" w:rsidRPr="0059220D" w14:paraId="4A4A9009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4317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GD20MCH_LAW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78C8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Law</w:t>
            </w:r>
          </w:p>
        </w:tc>
      </w:tr>
      <w:tr w:rsidR="0059220D" w:rsidRPr="0059220D" w14:paraId="4891E3FE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9219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GD20MCH_NUR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80FA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Nursing</w:t>
            </w:r>
          </w:p>
        </w:tc>
      </w:tr>
      <w:tr w:rsidR="0059220D" w:rsidRPr="0059220D" w14:paraId="663E2B36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53B4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GD20MCH_SW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E5C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Social Work</w:t>
            </w:r>
          </w:p>
        </w:tc>
      </w:tr>
      <w:tr w:rsidR="0059220D" w:rsidRPr="0059220D" w14:paraId="5A506099" w14:textId="77777777" w:rsidTr="0059220D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B4DE" w14:textId="77777777" w:rsidR="0059220D" w:rsidRPr="0059220D" w:rsidRDefault="0059220D" w:rsidP="0059220D">
            <w:pPr>
              <w:rPr>
                <w:rFonts w:eastAsia="Times New Roman"/>
              </w:rPr>
            </w:pPr>
            <w:r w:rsidRPr="0059220D">
              <w:rPr>
                <w:rFonts w:eastAsia="Times New Roman"/>
              </w:rPr>
              <w:t>GD20MCH_SOM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B53" w14:textId="77777777" w:rsidR="0059220D" w:rsidRPr="0059220D" w:rsidRDefault="0059220D" w:rsidP="0059220D">
            <w:pPr>
              <w:rPr>
                <w:rFonts w:eastAsia="Times New Roman"/>
                <w:color w:val="000000"/>
              </w:rPr>
            </w:pPr>
            <w:r w:rsidRPr="0059220D">
              <w:rPr>
                <w:rFonts w:eastAsia="Times New Roman"/>
                <w:color w:val="000000"/>
              </w:rPr>
              <w:t>Giving Day FY20 Match School of Medicine</w:t>
            </w:r>
          </w:p>
        </w:tc>
      </w:tr>
    </w:tbl>
    <w:p w14:paraId="048F34F8" w14:textId="77777777" w:rsidR="0059220D" w:rsidRDefault="0059220D" w:rsidP="00861A40">
      <w:pPr>
        <w:rPr>
          <w:sz w:val="24"/>
        </w:rPr>
      </w:pPr>
      <w:bookmarkStart w:id="1" w:name="_GoBack"/>
      <w:bookmarkEnd w:id="1"/>
    </w:p>
    <w:p w14:paraId="5645AC21" w14:textId="77777777" w:rsidR="0099119E" w:rsidRDefault="0099119E" w:rsidP="00861A40">
      <w:pPr>
        <w:rPr>
          <w:sz w:val="24"/>
        </w:rPr>
      </w:pPr>
    </w:p>
    <w:p w14:paraId="2A9B55FF" w14:textId="2865E6BE" w:rsidR="004739EF" w:rsidRDefault="0085295B" w:rsidP="00861A40">
      <w:pPr>
        <w:rPr>
          <w:sz w:val="24"/>
        </w:rPr>
      </w:pPr>
      <w:r>
        <w:rPr>
          <w:sz w:val="24"/>
        </w:rPr>
        <w:t xml:space="preserve">Gifts made on behalf of the Presidential event will use the typical event appeal code: </w:t>
      </w:r>
      <w:r w:rsidR="00CC442B">
        <w:rPr>
          <w:sz w:val="24"/>
        </w:rPr>
        <w:t>FY20EVENT</w:t>
      </w:r>
      <w:r w:rsidR="004740F7">
        <w:rPr>
          <w:sz w:val="24"/>
        </w:rPr>
        <w:t>.</w:t>
      </w:r>
    </w:p>
    <w:p w14:paraId="561BAF9A" w14:textId="6B72271E" w:rsidR="00BC2BC1" w:rsidRDefault="0085295B" w:rsidP="001550F2">
      <w:r>
        <w:rPr>
          <w:sz w:val="24"/>
        </w:rPr>
        <w:t xml:space="preserve">Gifts from faculty and staff will use the typical solicitation appeal code: </w:t>
      </w:r>
      <w:r w:rsidR="00CC442B">
        <w:rPr>
          <w:sz w:val="24"/>
        </w:rPr>
        <w:t>AGFACS</w:t>
      </w:r>
      <w:r w:rsidR="00CC442B" w:rsidRPr="004740F7">
        <w:rPr>
          <w:sz w:val="24"/>
          <w:szCs w:val="24"/>
        </w:rPr>
        <w:t>T</w:t>
      </w:r>
      <w:r w:rsidR="004740F7" w:rsidRPr="004740F7">
        <w:rPr>
          <w:b/>
          <w:sz w:val="24"/>
          <w:szCs w:val="24"/>
        </w:rPr>
        <w:t>.</w:t>
      </w:r>
    </w:p>
    <w:sectPr w:rsidR="00BC2BC1" w:rsidSect="00C87E5E">
      <w:headerReference w:type="first" r:id="rId9"/>
      <w:pgSz w:w="12240" w:h="15840"/>
      <w:pgMar w:top="720" w:right="720" w:bottom="720" w:left="720" w:header="0" w:footer="28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achel Paulson" w:date="2020-02-07T07:43:00Z" w:initials="RP">
    <w:p w14:paraId="1D466A6B" w14:textId="77777777" w:rsidR="00AF3A39" w:rsidRDefault="00AF3A39">
      <w:pPr>
        <w:pStyle w:val="CommentText"/>
      </w:pPr>
      <w:r>
        <w:rPr>
          <w:rStyle w:val="CommentReference"/>
        </w:rPr>
        <w:annotationRef/>
      </w:r>
      <w:r>
        <w:t xml:space="preserve">We need to start the day before due to the Presidential Event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466A6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E71CC" w14:textId="77777777" w:rsidR="00BC2BC1" w:rsidRDefault="00BC2BC1" w:rsidP="009C4AE8">
      <w:r>
        <w:separator/>
      </w:r>
    </w:p>
  </w:endnote>
  <w:endnote w:type="continuationSeparator" w:id="0">
    <w:p w14:paraId="674143E9" w14:textId="77777777" w:rsidR="00BC2BC1" w:rsidRDefault="00BC2BC1" w:rsidP="009C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21DF8" w14:textId="77777777" w:rsidR="00BC2BC1" w:rsidRDefault="00BC2BC1" w:rsidP="009C4AE8">
      <w:r>
        <w:separator/>
      </w:r>
    </w:p>
  </w:footnote>
  <w:footnote w:type="continuationSeparator" w:id="0">
    <w:p w14:paraId="4E56D47B" w14:textId="77777777" w:rsidR="00BC2BC1" w:rsidRDefault="00BC2BC1" w:rsidP="009C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497D" w14:textId="77777777" w:rsidR="00BC2BC1" w:rsidRDefault="00BC2BC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0" wp14:anchorId="61605B21" wp14:editId="4894EF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8288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vServices_LH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14"/>
    <w:multiLevelType w:val="hybridMultilevel"/>
    <w:tmpl w:val="54420128"/>
    <w:lvl w:ilvl="0" w:tplc="B756F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76E"/>
    <w:multiLevelType w:val="hybridMultilevel"/>
    <w:tmpl w:val="1D5A47E6"/>
    <w:lvl w:ilvl="0" w:tplc="AA0652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C3FE8"/>
    <w:multiLevelType w:val="hybridMultilevel"/>
    <w:tmpl w:val="FF66A79A"/>
    <w:lvl w:ilvl="0" w:tplc="A128E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A4511"/>
    <w:multiLevelType w:val="hybridMultilevel"/>
    <w:tmpl w:val="D0B0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324BD"/>
    <w:multiLevelType w:val="hybridMultilevel"/>
    <w:tmpl w:val="4886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2935"/>
    <w:multiLevelType w:val="hybridMultilevel"/>
    <w:tmpl w:val="1328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4319B"/>
    <w:multiLevelType w:val="hybridMultilevel"/>
    <w:tmpl w:val="0D76E278"/>
    <w:lvl w:ilvl="0" w:tplc="A3A8FD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1C69"/>
    <w:multiLevelType w:val="hybridMultilevel"/>
    <w:tmpl w:val="48381310"/>
    <w:lvl w:ilvl="0" w:tplc="B2669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60F71"/>
    <w:multiLevelType w:val="hybridMultilevel"/>
    <w:tmpl w:val="4908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7497C"/>
    <w:multiLevelType w:val="hybridMultilevel"/>
    <w:tmpl w:val="6052C452"/>
    <w:lvl w:ilvl="0" w:tplc="22D81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E105F"/>
    <w:multiLevelType w:val="hybridMultilevel"/>
    <w:tmpl w:val="6406A258"/>
    <w:lvl w:ilvl="0" w:tplc="09D8E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1BB7"/>
    <w:multiLevelType w:val="hybridMultilevel"/>
    <w:tmpl w:val="B824D100"/>
    <w:lvl w:ilvl="0" w:tplc="880EF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1321B"/>
    <w:multiLevelType w:val="hybridMultilevel"/>
    <w:tmpl w:val="38880746"/>
    <w:lvl w:ilvl="0" w:tplc="1A6E5A4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9633C"/>
    <w:multiLevelType w:val="hybridMultilevel"/>
    <w:tmpl w:val="D19A9FA6"/>
    <w:lvl w:ilvl="0" w:tplc="09D8E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C64B4"/>
    <w:multiLevelType w:val="hybridMultilevel"/>
    <w:tmpl w:val="491C2CEE"/>
    <w:lvl w:ilvl="0" w:tplc="09D8E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121D6"/>
    <w:multiLevelType w:val="hybridMultilevel"/>
    <w:tmpl w:val="9114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A065C"/>
    <w:multiLevelType w:val="hybridMultilevel"/>
    <w:tmpl w:val="BA1083CA"/>
    <w:lvl w:ilvl="0" w:tplc="53880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A39AA"/>
    <w:multiLevelType w:val="hybridMultilevel"/>
    <w:tmpl w:val="9DC62EC4"/>
    <w:lvl w:ilvl="0" w:tplc="D5C8FA28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16"/>
  </w:num>
  <w:num w:numId="6">
    <w:abstractNumId w:val="2"/>
  </w:num>
  <w:num w:numId="7">
    <w:abstractNumId w:val="0"/>
  </w:num>
  <w:num w:numId="8">
    <w:abstractNumId w:val="9"/>
  </w:num>
  <w:num w:numId="9">
    <w:abstractNumId w:val="15"/>
  </w:num>
  <w:num w:numId="10">
    <w:abstractNumId w:val="13"/>
  </w:num>
  <w:num w:numId="11">
    <w:abstractNumId w:val="10"/>
  </w:num>
  <w:num w:numId="12">
    <w:abstractNumId w:val="14"/>
  </w:num>
  <w:num w:numId="13">
    <w:abstractNumId w:val="12"/>
  </w:num>
  <w:num w:numId="14">
    <w:abstractNumId w:val="17"/>
  </w:num>
  <w:num w:numId="15">
    <w:abstractNumId w:val="8"/>
  </w:num>
  <w:num w:numId="16">
    <w:abstractNumId w:val="3"/>
  </w:num>
  <w:num w:numId="17">
    <w:abstractNumId w:val="4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chel Paulson">
    <w15:presenceInfo w15:providerId="AD" w15:userId="S-1-5-21-1604651501-2026589554-2877008191-52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33"/>
    <w:rsid w:val="0005669C"/>
    <w:rsid w:val="000950B5"/>
    <w:rsid w:val="000B1D67"/>
    <w:rsid w:val="000C446B"/>
    <w:rsid w:val="000C7C22"/>
    <w:rsid w:val="00104FE1"/>
    <w:rsid w:val="0011688D"/>
    <w:rsid w:val="0012645A"/>
    <w:rsid w:val="001431AC"/>
    <w:rsid w:val="001550F2"/>
    <w:rsid w:val="00167619"/>
    <w:rsid w:val="001B14C4"/>
    <w:rsid w:val="001C401E"/>
    <w:rsid w:val="001D0C37"/>
    <w:rsid w:val="001E1177"/>
    <w:rsid w:val="00257D45"/>
    <w:rsid w:val="002C6641"/>
    <w:rsid w:val="002D6B35"/>
    <w:rsid w:val="003238A0"/>
    <w:rsid w:val="00324B17"/>
    <w:rsid w:val="00385466"/>
    <w:rsid w:val="0038734D"/>
    <w:rsid w:val="003C52D7"/>
    <w:rsid w:val="003E0115"/>
    <w:rsid w:val="003E04D2"/>
    <w:rsid w:val="003E55B0"/>
    <w:rsid w:val="00411DEA"/>
    <w:rsid w:val="004739EF"/>
    <w:rsid w:val="004740F7"/>
    <w:rsid w:val="0049606F"/>
    <w:rsid w:val="004A030A"/>
    <w:rsid w:val="004A0F29"/>
    <w:rsid w:val="004F27B7"/>
    <w:rsid w:val="00533B13"/>
    <w:rsid w:val="00534A18"/>
    <w:rsid w:val="0059214D"/>
    <w:rsid w:val="0059220D"/>
    <w:rsid w:val="0059368C"/>
    <w:rsid w:val="005A176C"/>
    <w:rsid w:val="005F29E1"/>
    <w:rsid w:val="00645A75"/>
    <w:rsid w:val="00646789"/>
    <w:rsid w:val="00654713"/>
    <w:rsid w:val="0065689B"/>
    <w:rsid w:val="00672BA7"/>
    <w:rsid w:val="00675CDE"/>
    <w:rsid w:val="006B6C35"/>
    <w:rsid w:val="00715E9A"/>
    <w:rsid w:val="0074198C"/>
    <w:rsid w:val="007507D8"/>
    <w:rsid w:val="00790E3B"/>
    <w:rsid w:val="007B002F"/>
    <w:rsid w:val="007D0A58"/>
    <w:rsid w:val="007D54B5"/>
    <w:rsid w:val="007F2A78"/>
    <w:rsid w:val="00851121"/>
    <w:rsid w:val="00852855"/>
    <w:rsid w:val="0085295B"/>
    <w:rsid w:val="00861A40"/>
    <w:rsid w:val="0086230E"/>
    <w:rsid w:val="00862FE5"/>
    <w:rsid w:val="00863B16"/>
    <w:rsid w:val="0086589C"/>
    <w:rsid w:val="0090176B"/>
    <w:rsid w:val="009149E0"/>
    <w:rsid w:val="0091709B"/>
    <w:rsid w:val="00943A32"/>
    <w:rsid w:val="0095142C"/>
    <w:rsid w:val="00981FE7"/>
    <w:rsid w:val="0099119E"/>
    <w:rsid w:val="009B75F3"/>
    <w:rsid w:val="009C4AE8"/>
    <w:rsid w:val="009C600D"/>
    <w:rsid w:val="00A26036"/>
    <w:rsid w:val="00A4248C"/>
    <w:rsid w:val="00A5604D"/>
    <w:rsid w:val="00A831F9"/>
    <w:rsid w:val="00AF3A39"/>
    <w:rsid w:val="00B07633"/>
    <w:rsid w:val="00B24D7A"/>
    <w:rsid w:val="00B95F79"/>
    <w:rsid w:val="00BA4079"/>
    <w:rsid w:val="00BC1BBF"/>
    <w:rsid w:val="00BC2BC1"/>
    <w:rsid w:val="00BC6E19"/>
    <w:rsid w:val="00BD7488"/>
    <w:rsid w:val="00BF3635"/>
    <w:rsid w:val="00C15311"/>
    <w:rsid w:val="00C15E7D"/>
    <w:rsid w:val="00C47741"/>
    <w:rsid w:val="00C702CD"/>
    <w:rsid w:val="00C87E5E"/>
    <w:rsid w:val="00CC442B"/>
    <w:rsid w:val="00CD0120"/>
    <w:rsid w:val="00CD0AF2"/>
    <w:rsid w:val="00D522F3"/>
    <w:rsid w:val="00D75E36"/>
    <w:rsid w:val="00D87D97"/>
    <w:rsid w:val="00DB08D7"/>
    <w:rsid w:val="00DB606A"/>
    <w:rsid w:val="00DE5EE0"/>
    <w:rsid w:val="00DF1DF5"/>
    <w:rsid w:val="00DF221F"/>
    <w:rsid w:val="00E006BC"/>
    <w:rsid w:val="00E11D2D"/>
    <w:rsid w:val="00E163FD"/>
    <w:rsid w:val="00E1756C"/>
    <w:rsid w:val="00E2488E"/>
    <w:rsid w:val="00E62539"/>
    <w:rsid w:val="00E83FB5"/>
    <w:rsid w:val="00E87E35"/>
    <w:rsid w:val="00F04A22"/>
    <w:rsid w:val="00F0618E"/>
    <w:rsid w:val="00F77C9C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D72B2B7"/>
  <w15:chartTrackingRefBased/>
  <w15:docId w15:val="{99D727A4-DBD1-4B4D-9299-99603A7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F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AE8"/>
  </w:style>
  <w:style w:type="paragraph" w:styleId="Footer">
    <w:name w:val="footer"/>
    <w:basedOn w:val="Normal"/>
    <w:link w:val="FooterChar"/>
    <w:uiPriority w:val="99"/>
    <w:unhideWhenUsed/>
    <w:rsid w:val="009C4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AE8"/>
  </w:style>
  <w:style w:type="paragraph" w:styleId="ListParagraph">
    <w:name w:val="List Paragraph"/>
    <w:basedOn w:val="Normal"/>
    <w:uiPriority w:val="34"/>
    <w:qFormat/>
    <w:rsid w:val="001E1177"/>
    <w:pPr>
      <w:ind w:left="720"/>
      <w:contextualSpacing/>
    </w:pPr>
  </w:style>
  <w:style w:type="paragraph" w:customStyle="1" w:styleId="Default">
    <w:name w:val="Default"/>
    <w:rsid w:val="00E83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A3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A3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Wyrembelski</dc:creator>
  <cp:keywords/>
  <dc:description/>
  <cp:lastModifiedBy>Jeanine Simnick</cp:lastModifiedBy>
  <cp:revision>5</cp:revision>
  <cp:lastPrinted>2020-03-09T18:46:00Z</cp:lastPrinted>
  <dcterms:created xsi:type="dcterms:W3CDTF">2020-03-09T15:58:00Z</dcterms:created>
  <dcterms:modified xsi:type="dcterms:W3CDTF">2020-03-11T19:55:00Z</dcterms:modified>
</cp:coreProperties>
</file>